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B9B" w:rsidRPr="00E94B9B" w:rsidRDefault="00E94B9B" w:rsidP="00E94B9B">
      <w:pPr>
        <w:spacing w:after="0" w:line="240" w:lineRule="auto"/>
        <w:jc w:val="center"/>
        <w:rPr>
          <w:rFonts w:ascii="Times New Roman" w:eastAsia="Times New Roman" w:hAnsi="Times New Roman" w:cs="Times New Roman"/>
          <w:sz w:val="24"/>
          <w:szCs w:val="24"/>
          <w:lang w:eastAsia="en-IN"/>
        </w:rPr>
      </w:pPr>
      <w:r w:rsidRPr="00E94B9B">
        <w:rPr>
          <w:rFonts w:ascii="&quot;times new roman&quot;" w:eastAsia="Times New Roman" w:hAnsi="&quot;times new roman&quot;" w:cs="Times New Roman"/>
          <w:color w:val="000000"/>
          <w:sz w:val="32"/>
          <w:szCs w:val="32"/>
          <w:lang w:eastAsia="en-IN"/>
        </w:rPr>
        <w:t>SAINTGITS COLLEGE OF APPLIED SCIENCES</w:t>
      </w:r>
    </w:p>
    <w:p w:rsidR="00E94B9B" w:rsidRPr="00E94B9B" w:rsidRDefault="00E94B9B" w:rsidP="00E94B9B">
      <w:pPr>
        <w:spacing w:after="0" w:line="240" w:lineRule="auto"/>
        <w:jc w:val="center"/>
        <w:rPr>
          <w:rFonts w:ascii="Times New Roman" w:eastAsia="Times New Roman" w:hAnsi="Times New Roman" w:cs="Times New Roman"/>
          <w:sz w:val="24"/>
          <w:szCs w:val="24"/>
          <w:lang w:eastAsia="en-IN"/>
        </w:rPr>
      </w:pPr>
      <w:r w:rsidRPr="00E94B9B">
        <w:rPr>
          <w:rFonts w:ascii="&quot;times new roman&quot;" w:eastAsia="Times New Roman" w:hAnsi="&quot;times new roman&quot;" w:cs="Times New Roman"/>
          <w:color w:val="000000"/>
          <w:sz w:val="24"/>
          <w:szCs w:val="24"/>
          <w:lang w:eastAsia="en-IN"/>
        </w:rPr>
        <w:t>First Internal Assessment Examination, February 2019</w:t>
      </w:r>
    </w:p>
    <w:p w:rsidR="00E94B9B" w:rsidRPr="00E94B9B" w:rsidRDefault="00E94B9B" w:rsidP="00E94B9B">
      <w:pPr>
        <w:spacing w:after="0" w:line="240" w:lineRule="auto"/>
        <w:jc w:val="center"/>
        <w:rPr>
          <w:rFonts w:ascii="Times New Roman" w:eastAsia="Times New Roman" w:hAnsi="Times New Roman" w:cs="Times New Roman"/>
          <w:sz w:val="24"/>
          <w:szCs w:val="24"/>
          <w:lang w:eastAsia="en-IN"/>
        </w:rPr>
      </w:pPr>
      <w:r w:rsidRPr="00E94B9B">
        <w:rPr>
          <w:rFonts w:ascii="&quot;times new roman&quot;" w:eastAsia="Times New Roman" w:hAnsi="&quot;times new roman&quot;" w:cs="Times New Roman"/>
          <w:color w:val="000000"/>
          <w:sz w:val="24"/>
          <w:szCs w:val="24"/>
          <w:lang w:eastAsia="en-IN"/>
        </w:rPr>
        <w:t>B. Com Forth Semester (Computer Applications&amp; Taxation)</w:t>
      </w:r>
    </w:p>
    <w:p w:rsidR="00E94B9B" w:rsidRPr="00E94B9B" w:rsidRDefault="00E94B9B" w:rsidP="00E94B9B">
      <w:pPr>
        <w:spacing w:line="240" w:lineRule="auto"/>
        <w:jc w:val="center"/>
        <w:rPr>
          <w:rFonts w:ascii="Times New Roman" w:eastAsia="Times New Roman" w:hAnsi="Times New Roman" w:cs="Times New Roman"/>
          <w:sz w:val="24"/>
          <w:szCs w:val="24"/>
          <w:lang w:eastAsia="en-IN"/>
        </w:rPr>
      </w:pPr>
      <w:r w:rsidRPr="00E94B9B">
        <w:rPr>
          <w:rFonts w:ascii="&quot;times new roman&quot;" w:eastAsia="Times New Roman" w:hAnsi="&quot;times new roman&quot;" w:cs="Times New Roman"/>
          <w:color w:val="000000"/>
          <w:sz w:val="28"/>
          <w:szCs w:val="28"/>
          <w:lang w:eastAsia="en-IN"/>
        </w:rPr>
        <w:t>FINANCIAL SERVICES</w:t>
      </w:r>
    </w:p>
    <w:p w:rsidR="00E94B9B" w:rsidRPr="00E94B9B" w:rsidRDefault="00E94B9B" w:rsidP="00E94B9B">
      <w:pPr>
        <w:spacing w:line="240" w:lineRule="auto"/>
        <w:jc w:val="center"/>
        <w:rPr>
          <w:rFonts w:ascii="Times New Roman" w:eastAsia="Times New Roman" w:hAnsi="Times New Roman" w:cs="Times New Roman"/>
          <w:sz w:val="24"/>
          <w:szCs w:val="24"/>
          <w:lang w:eastAsia="en-IN"/>
        </w:rPr>
      </w:pPr>
      <w:r w:rsidRPr="00E94B9B">
        <w:rPr>
          <w:rFonts w:ascii="&quot;times new roman&quot;" w:eastAsia="Times New Roman" w:hAnsi="&quot;times new roman&quot;" w:cs="Times New Roman"/>
          <w:color w:val="000000"/>
          <w:sz w:val="28"/>
          <w:szCs w:val="28"/>
          <w:lang w:eastAsia="en-IN"/>
        </w:rPr>
        <w:t>Answer scheme</w:t>
      </w:r>
    </w:p>
    <w:p w:rsidR="00E94B9B" w:rsidRPr="00E94B9B" w:rsidRDefault="00E94B9B" w:rsidP="00E94B9B">
      <w:pPr>
        <w:spacing w:after="0" w:line="240" w:lineRule="auto"/>
        <w:jc w:val="center"/>
        <w:rPr>
          <w:rFonts w:ascii="Times New Roman" w:eastAsia="Times New Roman" w:hAnsi="Times New Roman" w:cs="Times New Roman"/>
          <w:sz w:val="24"/>
          <w:szCs w:val="24"/>
          <w:lang w:eastAsia="en-IN"/>
        </w:rPr>
      </w:pPr>
      <w:r w:rsidRPr="00E94B9B">
        <w:rPr>
          <w:rFonts w:ascii="&quot;times new roman&quot;" w:eastAsia="Times New Roman" w:hAnsi="&quot;times new roman&quot;" w:cs="Times New Roman"/>
          <w:b/>
          <w:bCs/>
          <w:sz w:val="24"/>
          <w:szCs w:val="24"/>
          <w:lang w:eastAsia="en-IN"/>
        </w:rPr>
        <w:t>Section A</w:t>
      </w:r>
    </w:p>
    <w:p w:rsidR="00E94B9B" w:rsidRPr="00E94B9B" w:rsidRDefault="00E94B9B" w:rsidP="00E94B9B">
      <w:pPr>
        <w:spacing w:after="0" w:line="240" w:lineRule="auto"/>
        <w:jc w:val="center"/>
        <w:rPr>
          <w:rFonts w:ascii="Times New Roman" w:eastAsia="Times New Roman" w:hAnsi="Times New Roman" w:cs="Times New Roman"/>
          <w:sz w:val="24"/>
          <w:szCs w:val="24"/>
          <w:lang w:eastAsia="en-IN"/>
        </w:rPr>
      </w:pPr>
      <w:r w:rsidRPr="00E94B9B">
        <w:rPr>
          <w:rFonts w:ascii="Arial" w:eastAsia="Times New Roman" w:hAnsi="Arial" w:cs="Arial"/>
          <w:i/>
          <w:iCs/>
          <w:sz w:val="24"/>
          <w:szCs w:val="24"/>
          <w:lang w:eastAsia="en-IN"/>
        </w:rPr>
        <w:t>Answer any 5 questions. Each question carries 2 marks.</w:t>
      </w:r>
    </w:p>
    <w:p w:rsidR="00E94B9B" w:rsidRPr="00E94B9B" w:rsidRDefault="00E94B9B" w:rsidP="00E94B9B">
      <w:pPr>
        <w:numPr>
          <w:ilvl w:val="0"/>
          <w:numId w:val="1"/>
        </w:numPr>
        <w:spacing w:before="100" w:beforeAutospacing="1" w:after="0" w:line="240" w:lineRule="auto"/>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What do you mean by fee based financial services?</w:t>
      </w:r>
    </w:p>
    <w:p w:rsidR="00E94B9B" w:rsidRPr="00E94B9B" w:rsidRDefault="00E94B9B" w:rsidP="00E94B9B">
      <w:pPr>
        <w:spacing w:after="0" w:line="240" w:lineRule="auto"/>
        <w:rPr>
          <w:rFonts w:ascii="Times New Roman" w:eastAsia="Times New Roman" w:hAnsi="Times New Roman" w:cs="Times New Roman"/>
          <w:sz w:val="24"/>
          <w:szCs w:val="24"/>
          <w:lang w:eastAsia="en-IN"/>
        </w:rPr>
      </w:pPr>
      <w:r w:rsidRPr="00E94B9B">
        <w:rPr>
          <w:rFonts w:ascii="Arial" w:eastAsia="Times New Roman" w:hAnsi="Arial" w:cs="Arial"/>
          <w:b/>
          <w:bCs/>
          <w:color w:val="222222"/>
          <w:sz w:val="24"/>
          <w:szCs w:val="24"/>
          <w:shd w:val="clear" w:color="auto" w:fill="FFFFFF"/>
          <w:lang w:eastAsia="en-IN"/>
        </w:rPr>
        <w:t>Fee Based Services Fee based financial services</w:t>
      </w:r>
      <w:r w:rsidRPr="00E94B9B">
        <w:rPr>
          <w:rFonts w:ascii="Arial" w:eastAsia="Times New Roman" w:hAnsi="Arial" w:cs="Arial"/>
          <w:color w:val="222222"/>
          <w:sz w:val="24"/>
          <w:szCs w:val="24"/>
          <w:shd w:val="clear" w:color="auto" w:fill="FFFFFF"/>
          <w:lang w:eastAsia="en-IN"/>
        </w:rPr>
        <w:t> are those </w:t>
      </w:r>
      <w:r w:rsidRPr="00E94B9B">
        <w:rPr>
          <w:rFonts w:ascii="Arial" w:eastAsia="Times New Roman" w:hAnsi="Arial" w:cs="Arial"/>
          <w:b/>
          <w:bCs/>
          <w:color w:val="222222"/>
          <w:sz w:val="24"/>
          <w:szCs w:val="24"/>
          <w:shd w:val="clear" w:color="auto" w:fill="FFFFFF"/>
          <w:lang w:eastAsia="en-IN"/>
        </w:rPr>
        <w:t>services</w:t>
      </w:r>
      <w:r w:rsidRPr="00E94B9B">
        <w:rPr>
          <w:rFonts w:ascii="Arial" w:eastAsia="Times New Roman" w:hAnsi="Arial" w:cs="Arial"/>
          <w:color w:val="222222"/>
          <w:sz w:val="24"/>
          <w:szCs w:val="24"/>
          <w:shd w:val="clear" w:color="auto" w:fill="FFFFFF"/>
          <w:lang w:eastAsia="en-IN"/>
        </w:rPr>
        <w:t> wherein </w:t>
      </w:r>
      <w:r w:rsidRPr="00E94B9B">
        <w:rPr>
          <w:rFonts w:ascii="Arial" w:eastAsia="Times New Roman" w:hAnsi="Arial" w:cs="Arial"/>
          <w:b/>
          <w:bCs/>
          <w:color w:val="222222"/>
          <w:sz w:val="24"/>
          <w:szCs w:val="24"/>
          <w:shd w:val="clear" w:color="auto" w:fill="FFFFFF"/>
          <w:lang w:eastAsia="en-IN"/>
        </w:rPr>
        <w:t>financial</w:t>
      </w:r>
      <w:r w:rsidRPr="00E94B9B">
        <w:rPr>
          <w:rFonts w:ascii="Arial" w:eastAsia="Times New Roman" w:hAnsi="Arial" w:cs="Arial"/>
          <w:color w:val="222222"/>
          <w:sz w:val="24"/>
          <w:szCs w:val="24"/>
          <w:shd w:val="clear" w:color="auto" w:fill="FFFFFF"/>
          <w:lang w:eastAsia="en-IN"/>
        </w:rPr>
        <w:t> institutions operate in specialized fields to earn a substantial income in the form of </w:t>
      </w:r>
      <w:r w:rsidRPr="00E94B9B">
        <w:rPr>
          <w:rFonts w:ascii="Arial" w:eastAsia="Times New Roman" w:hAnsi="Arial" w:cs="Arial"/>
          <w:b/>
          <w:bCs/>
          <w:color w:val="222222"/>
          <w:sz w:val="24"/>
          <w:szCs w:val="24"/>
          <w:shd w:val="clear" w:color="auto" w:fill="FFFFFF"/>
          <w:lang w:eastAsia="en-IN"/>
        </w:rPr>
        <w:t>fees</w:t>
      </w:r>
      <w:r w:rsidRPr="00E94B9B">
        <w:rPr>
          <w:rFonts w:ascii="Arial" w:eastAsia="Times New Roman" w:hAnsi="Arial" w:cs="Arial"/>
          <w:color w:val="222222"/>
          <w:sz w:val="24"/>
          <w:szCs w:val="24"/>
          <w:shd w:val="clear" w:color="auto" w:fill="FFFFFF"/>
          <w:lang w:eastAsia="en-IN"/>
        </w:rPr>
        <w:t> or dividends</w:t>
      </w:r>
    </w:p>
    <w:p w:rsidR="00E94B9B" w:rsidRPr="00E94B9B" w:rsidRDefault="00E94B9B" w:rsidP="00E94B9B">
      <w:pPr>
        <w:numPr>
          <w:ilvl w:val="0"/>
          <w:numId w:val="2"/>
        </w:numPr>
        <w:spacing w:before="100" w:beforeAutospacing="1" w:after="0" w:line="240" w:lineRule="auto"/>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What is portfolio management?</w:t>
      </w:r>
    </w:p>
    <w:p w:rsidR="00E94B9B" w:rsidRPr="00E94B9B" w:rsidRDefault="00E94B9B" w:rsidP="00E94B9B">
      <w:pPr>
        <w:spacing w:after="0" w:line="240" w:lineRule="auto"/>
        <w:rPr>
          <w:rFonts w:ascii="Times New Roman" w:eastAsia="Times New Roman" w:hAnsi="Times New Roman" w:cs="Times New Roman"/>
          <w:sz w:val="24"/>
          <w:szCs w:val="24"/>
          <w:lang w:eastAsia="en-IN"/>
        </w:rPr>
      </w:pPr>
      <w:r w:rsidRPr="00E94B9B">
        <w:rPr>
          <w:rFonts w:ascii="Arial" w:eastAsia="Times New Roman" w:hAnsi="Arial" w:cs="Arial"/>
          <w:b/>
          <w:bCs/>
          <w:color w:val="222222"/>
          <w:sz w:val="24"/>
          <w:szCs w:val="24"/>
          <w:shd w:val="clear" w:color="auto" w:fill="FFFFFF"/>
          <w:lang w:eastAsia="en-IN"/>
        </w:rPr>
        <w:t>Portfolio management</w:t>
      </w:r>
      <w:r w:rsidRPr="00E94B9B">
        <w:rPr>
          <w:rFonts w:ascii="Arial" w:eastAsia="Times New Roman" w:hAnsi="Arial" w:cs="Arial"/>
          <w:color w:val="222222"/>
          <w:sz w:val="24"/>
          <w:szCs w:val="24"/>
          <w:shd w:val="clear" w:color="auto" w:fill="FFFFFF"/>
          <w:lang w:eastAsia="en-IN"/>
        </w:rPr>
        <w:t> is the art and science of making decisions about investment mix and policy, matching investments to objectives, </w:t>
      </w:r>
      <w:r w:rsidRPr="00E94B9B">
        <w:rPr>
          <w:rFonts w:ascii="Arial" w:eastAsia="Times New Roman" w:hAnsi="Arial" w:cs="Arial"/>
          <w:b/>
          <w:bCs/>
          <w:color w:val="222222"/>
          <w:sz w:val="24"/>
          <w:szCs w:val="24"/>
          <w:shd w:val="clear" w:color="auto" w:fill="FFFFFF"/>
          <w:lang w:eastAsia="en-IN"/>
        </w:rPr>
        <w:t>asset</w:t>
      </w:r>
      <w:r w:rsidRPr="00E94B9B">
        <w:rPr>
          <w:rFonts w:ascii="Arial" w:eastAsia="Times New Roman" w:hAnsi="Arial" w:cs="Arial"/>
          <w:color w:val="222222"/>
          <w:sz w:val="24"/>
          <w:szCs w:val="24"/>
          <w:shd w:val="clear" w:color="auto" w:fill="FFFFFF"/>
          <w:lang w:eastAsia="en-IN"/>
        </w:rPr>
        <w:t> allocation for individuals and institutions, and balancing risk against performance.</w:t>
      </w:r>
    </w:p>
    <w:p w:rsidR="00E94B9B" w:rsidRPr="00E94B9B" w:rsidRDefault="00E94B9B" w:rsidP="00E94B9B">
      <w:pPr>
        <w:numPr>
          <w:ilvl w:val="0"/>
          <w:numId w:val="3"/>
        </w:numPr>
        <w:spacing w:before="100" w:beforeAutospacing="1" w:after="0" w:line="240" w:lineRule="auto"/>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Define merchant banking.</w:t>
      </w:r>
    </w:p>
    <w:p w:rsidR="00E94B9B" w:rsidRPr="00E94B9B" w:rsidRDefault="00E94B9B" w:rsidP="00E94B9B">
      <w:pPr>
        <w:spacing w:after="0" w:line="240" w:lineRule="auto"/>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shd w:val="clear" w:color="auto" w:fill="FFFFFF"/>
          <w:lang w:eastAsia="en-IN"/>
        </w:rPr>
        <w:t>A </w:t>
      </w:r>
      <w:r w:rsidRPr="00E94B9B">
        <w:rPr>
          <w:rFonts w:ascii="Arial" w:eastAsia="Times New Roman" w:hAnsi="Arial" w:cs="Arial"/>
          <w:b/>
          <w:bCs/>
          <w:color w:val="222222"/>
          <w:sz w:val="24"/>
          <w:szCs w:val="24"/>
          <w:shd w:val="clear" w:color="auto" w:fill="FFFFFF"/>
          <w:lang w:eastAsia="en-IN"/>
        </w:rPr>
        <w:t>merchant bank</w:t>
      </w:r>
      <w:r w:rsidRPr="00E94B9B">
        <w:rPr>
          <w:rFonts w:ascii="Arial" w:eastAsia="Times New Roman" w:hAnsi="Arial" w:cs="Arial"/>
          <w:color w:val="222222"/>
          <w:sz w:val="24"/>
          <w:szCs w:val="24"/>
          <w:shd w:val="clear" w:color="auto" w:fill="FFFFFF"/>
          <w:lang w:eastAsia="en-IN"/>
        </w:rPr>
        <w:t> is a company that conducts underwriting, loan services, financial advising, and fundraising services for large corporations and high net worth individuals</w:t>
      </w:r>
    </w:p>
    <w:p w:rsidR="00E94B9B" w:rsidRPr="00E94B9B" w:rsidRDefault="00E94B9B" w:rsidP="00E94B9B">
      <w:pPr>
        <w:numPr>
          <w:ilvl w:val="0"/>
          <w:numId w:val="4"/>
        </w:numPr>
        <w:spacing w:before="100" w:beforeAutospacing="1" w:after="0" w:line="240" w:lineRule="auto"/>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What are buyouts?</w:t>
      </w:r>
    </w:p>
    <w:p w:rsidR="00E94B9B" w:rsidRPr="00E94B9B" w:rsidRDefault="00E94B9B" w:rsidP="00E94B9B">
      <w:pPr>
        <w:spacing w:after="0" w:line="240" w:lineRule="auto"/>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shd w:val="clear" w:color="auto" w:fill="FFFFFF"/>
          <w:lang w:eastAsia="en-IN"/>
        </w:rPr>
        <w:t> A </w:t>
      </w:r>
      <w:r w:rsidRPr="00E94B9B">
        <w:rPr>
          <w:rFonts w:ascii="Arial" w:eastAsia="Times New Roman" w:hAnsi="Arial" w:cs="Arial"/>
          <w:b/>
          <w:bCs/>
          <w:color w:val="222222"/>
          <w:sz w:val="24"/>
          <w:szCs w:val="24"/>
          <w:shd w:val="clear" w:color="auto" w:fill="FFFFFF"/>
          <w:lang w:eastAsia="en-IN"/>
        </w:rPr>
        <w:t>buyout</w:t>
      </w:r>
      <w:r w:rsidRPr="00E94B9B">
        <w:rPr>
          <w:rFonts w:ascii="Arial" w:eastAsia="Times New Roman" w:hAnsi="Arial" w:cs="Arial"/>
          <w:color w:val="222222"/>
          <w:sz w:val="24"/>
          <w:szCs w:val="24"/>
          <w:shd w:val="clear" w:color="auto" w:fill="FFFFFF"/>
          <w:lang w:eastAsia="en-IN"/>
        </w:rPr>
        <w:t xml:space="preserve"> is an investment transaction by which the ownership equity of a company, or a majority share of the stock of the company is </w:t>
      </w:r>
      <w:proofErr w:type="spellStart"/>
      <w:proofErr w:type="gramStart"/>
      <w:r w:rsidRPr="00E94B9B">
        <w:rPr>
          <w:rFonts w:ascii="Arial" w:eastAsia="Times New Roman" w:hAnsi="Arial" w:cs="Arial"/>
          <w:color w:val="222222"/>
          <w:sz w:val="24"/>
          <w:szCs w:val="24"/>
          <w:shd w:val="clear" w:color="auto" w:fill="FFFFFF"/>
          <w:lang w:eastAsia="en-IN"/>
        </w:rPr>
        <w:t>acquired.A</w:t>
      </w:r>
      <w:proofErr w:type="spellEnd"/>
      <w:proofErr w:type="gramEnd"/>
      <w:r w:rsidRPr="00E94B9B">
        <w:rPr>
          <w:rFonts w:ascii="Arial" w:eastAsia="Times New Roman" w:hAnsi="Arial" w:cs="Arial"/>
          <w:color w:val="222222"/>
          <w:sz w:val="24"/>
          <w:szCs w:val="24"/>
          <w:shd w:val="clear" w:color="auto" w:fill="FFFFFF"/>
          <w:lang w:eastAsia="en-IN"/>
        </w:rPr>
        <w:t> </w:t>
      </w:r>
      <w:r w:rsidRPr="00E94B9B">
        <w:rPr>
          <w:rFonts w:ascii="Arial" w:eastAsia="Times New Roman" w:hAnsi="Arial" w:cs="Arial"/>
          <w:b/>
          <w:bCs/>
          <w:color w:val="222222"/>
          <w:sz w:val="24"/>
          <w:szCs w:val="24"/>
          <w:shd w:val="clear" w:color="auto" w:fill="FFFFFF"/>
          <w:lang w:eastAsia="en-IN"/>
        </w:rPr>
        <w:t>buyout</w:t>
      </w:r>
      <w:r w:rsidRPr="00E94B9B">
        <w:rPr>
          <w:rFonts w:ascii="Arial" w:eastAsia="Times New Roman" w:hAnsi="Arial" w:cs="Arial"/>
          <w:color w:val="222222"/>
          <w:sz w:val="24"/>
          <w:szCs w:val="24"/>
          <w:shd w:val="clear" w:color="auto" w:fill="FFFFFF"/>
          <w:lang w:eastAsia="en-IN"/>
        </w:rPr>
        <w:t> will often include the purchasing of the target company's outstanding debt, which is referred to as "assumed debt" by the purchaser.</w:t>
      </w:r>
    </w:p>
    <w:p w:rsidR="00E94B9B" w:rsidRPr="00E94B9B" w:rsidRDefault="00E94B9B" w:rsidP="00E94B9B">
      <w:pPr>
        <w:numPr>
          <w:ilvl w:val="0"/>
          <w:numId w:val="5"/>
        </w:numPr>
        <w:spacing w:before="100" w:beforeAutospacing="1" w:after="0" w:line="240" w:lineRule="auto"/>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What is hands-on nurturing?</w:t>
      </w:r>
    </w:p>
    <w:p w:rsidR="00E94B9B" w:rsidRPr="00E94B9B" w:rsidRDefault="00E94B9B" w:rsidP="00E94B9B">
      <w:pPr>
        <w:spacing w:after="0" w:line="240" w:lineRule="auto"/>
        <w:rPr>
          <w:rFonts w:ascii="Times New Roman" w:eastAsia="Times New Roman" w:hAnsi="Times New Roman" w:cs="Times New Roman"/>
          <w:sz w:val="24"/>
          <w:szCs w:val="24"/>
          <w:lang w:eastAsia="en-IN"/>
        </w:rPr>
      </w:pPr>
      <w:r w:rsidRPr="00E94B9B">
        <w:rPr>
          <w:rFonts w:ascii="Arial" w:eastAsia="Times New Roman" w:hAnsi="Arial" w:cs="Arial"/>
          <w:b/>
          <w:bCs/>
          <w:color w:val="222222"/>
          <w:sz w:val="24"/>
          <w:szCs w:val="24"/>
          <w:shd w:val="clear" w:color="auto" w:fill="FFFFFF"/>
          <w:lang w:eastAsia="en-IN"/>
        </w:rPr>
        <w:t>Hands-</w:t>
      </w:r>
      <w:proofErr w:type="gramStart"/>
      <w:r w:rsidRPr="00E94B9B">
        <w:rPr>
          <w:rFonts w:ascii="Arial" w:eastAsia="Times New Roman" w:hAnsi="Arial" w:cs="Arial"/>
          <w:b/>
          <w:bCs/>
          <w:color w:val="222222"/>
          <w:sz w:val="24"/>
          <w:szCs w:val="24"/>
          <w:shd w:val="clear" w:color="auto" w:fill="FFFFFF"/>
          <w:lang w:eastAsia="en-IN"/>
        </w:rPr>
        <w:t>on</w:t>
      </w:r>
      <w:proofErr w:type="gramEnd"/>
      <w:r w:rsidRPr="00E94B9B">
        <w:rPr>
          <w:rFonts w:ascii="Arial" w:eastAsia="Times New Roman" w:hAnsi="Arial" w:cs="Arial"/>
          <w:b/>
          <w:bCs/>
          <w:color w:val="222222"/>
          <w:sz w:val="24"/>
          <w:szCs w:val="24"/>
          <w:shd w:val="clear" w:color="auto" w:fill="FFFFFF"/>
          <w:lang w:eastAsia="en-IN"/>
        </w:rPr>
        <w:t>-Nurturing</w:t>
      </w:r>
      <w:r w:rsidRPr="00E94B9B">
        <w:rPr>
          <w:rFonts w:ascii="Arial" w:eastAsia="Times New Roman" w:hAnsi="Arial" w:cs="Arial"/>
          <w:color w:val="222222"/>
          <w:sz w:val="24"/>
          <w:szCs w:val="24"/>
          <w:shd w:val="clear" w:color="auto" w:fill="FFFFFF"/>
          <w:lang w:eastAsia="en-IN"/>
        </w:rPr>
        <w:t>” is basically continuous and constant involvement in the operation of the investee company by way of representation on the board of director. Venture capital company provides guidance on long term business planning, technology development, </w:t>
      </w:r>
      <w:r w:rsidRPr="00E94B9B">
        <w:rPr>
          <w:rFonts w:ascii="Arial" w:eastAsia="Times New Roman" w:hAnsi="Arial" w:cs="Arial"/>
          <w:b/>
          <w:bCs/>
          <w:color w:val="222222"/>
          <w:sz w:val="24"/>
          <w:szCs w:val="24"/>
          <w:shd w:val="clear" w:color="auto" w:fill="FFFFFF"/>
          <w:lang w:eastAsia="en-IN"/>
        </w:rPr>
        <w:t>financial</w:t>
      </w:r>
      <w:r w:rsidRPr="00E94B9B">
        <w:rPr>
          <w:rFonts w:ascii="Arial" w:eastAsia="Times New Roman" w:hAnsi="Arial" w:cs="Arial"/>
          <w:color w:val="222222"/>
          <w:sz w:val="24"/>
          <w:szCs w:val="24"/>
          <w:shd w:val="clear" w:color="auto" w:fill="FFFFFF"/>
          <w:lang w:eastAsia="en-IN"/>
        </w:rPr>
        <w:t> planning, marketing strategy etc.</w:t>
      </w:r>
    </w:p>
    <w:p w:rsidR="00E94B9B" w:rsidRPr="00E94B9B" w:rsidRDefault="00E94B9B" w:rsidP="00E94B9B">
      <w:pPr>
        <w:numPr>
          <w:ilvl w:val="0"/>
          <w:numId w:val="6"/>
        </w:numPr>
        <w:spacing w:before="100" w:beforeAutospacing="1" w:after="0" w:line="240" w:lineRule="auto"/>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What is pass through certificate?</w:t>
      </w:r>
    </w:p>
    <w:p w:rsidR="00E94B9B" w:rsidRPr="00E94B9B" w:rsidRDefault="00E94B9B" w:rsidP="00E94B9B">
      <w:pPr>
        <w:spacing w:after="0" w:line="240" w:lineRule="auto"/>
        <w:rPr>
          <w:rFonts w:ascii="Times New Roman" w:eastAsia="Times New Roman" w:hAnsi="Times New Roman" w:cs="Times New Roman"/>
          <w:sz w:val="24"/>
          <w:szCs w:val="24"/>
          <w:lang w:eastAsia="en-IN"/>
        </w:rPr>
      </w:pPr>
      <w:r w:rsidRPr="00E94B9B">
        <w:rPr>
          <w:rFonts w:ascii="Arial" w:eastAsia="Times New Roman" w:hAnsi="Arial" w:cs="Arial"/>
          <w:color w:val="3C4043"/>
          <w:sz w:val="24"/>
          <w:szCs w:val="24"/>
          <w:shd w:val="clear" w:color="auto" w:fill="FFFFFF"/>
          <w:lang w:eastAsia="en-IN"/>
        </w:rPr>
        <w:t>A </w:t>
      </w:r>
      <w:r w:rsidRPr="00E94B9B">
        <w:rPr>
          <w:rFonts w:ascii="Arial" w:eastAsia="Times New Roman" w:hAnsi="Arial" w:cs="Arial"/>
          <w:b/>
          <w:bCs/>
          <w:color w:val="52565A"/>
          <w:sz w:val="24"/>
          <w:szCs w:val="24"/>
          <w:shd w:val="clear" w:color="auto" w:fill="FFFFFF"/>
          <w:lang w:eastAsia="en-IN"/>
        </w:rPr>
        <w:t>pass through certificate</w:t>
      </w:r>
      <w:r w:rsidRPr="00E94B9B">
        <w:rPr>
          <w:rFonts w:ascii="Arial" w:eastAsia="Times New Roman" w:hAnsi="Arial" w:cs="Arial"/>
          <w:color w:val="3C4043"/>
          <w:sz w:val="24"/>
          <w:szCs w:val="24"/>
          <w:shd w:val="clear" w:color="auto" w:fill="FFFFFF"/>
          <w:lang w:eastAsia="en-IN"/>
        </w:rPr>
        <w:t> (PTC) is a </w:t>
      </w:r>
      <w:r w:rsidRPr="00E94B9B">
        <w:rPr>
          <w:rFonts w:ascii="Arial" w:eastAsia="Times New Roman" w:hAnsi="Arial" w:cs="Arial"/>
          <w:b/>
          <w:bCs/>
          <w:color w:val="52565A"/>
          <w:sz w:val="24"/>
          <w:szCs w:val="24"/>
          <w:shd w:val="clear" w:color="auto" w:fill="FFFFFF"/>
          <w:lang w:eastAsia="en-IN"/>
        </w:rPr>
        <w:t>certificate</w:t>
      </w:r>
      <w:r w:rsidRPr="00E94B9B">
        <w:rPr>
          <w:rFonts w:ascii="Arial" w:eastAsia="Times New Roman" w:hAnsi="Arial" w:cs="Arial"/>
          <w:color w:val="3C4043"/>
          <w:sz w:val="24"/>
          <w:szCs w:val="24"/>
          <w:shd w:val="clear" w:color="auto" w:fill="FFFFFF"/>
          <w:lang w:eastAsia="en-IN"/>
        </w:rPr>
        <w:t> that is given to an investor against certain mortgaged-backed securities that lie with the issuer. The </w:t>
      </w:r>
      <w:r w:rsidRPr="00E94B9B">
        <w:rPr>
          <w:rFonts w:ascii="Arial" w:eastAsia="Times New Roman" w:hAnsi="Arial" w:cs="Arial"/>
          <w:b/>
          <w:bCs/>
          <w:color w:val="52565A"/>
          <w:sz w:val="24"/>
          <w:szCs w:val="24"/>
          <w:shd w:val="clear" w:color="auto" w:fill="FFFFFF"/>
          <w:lang w:eastAsia="en-IN"/>
        </w:rPr>
        <w:t>certificate</w:t>
      </w:r>
      <w:r w:rsidRPr="00E94B9B">
        <w:rPr>
          <w:rFonts w:ascii="Arial" w:eastAsia="Times New Roman" w:hAnsi="Arial" w:cs="Arial"/>
          <w:color w:val="3C4043"/>
          <w:sz w:val="24"/>
          <w:szCs w:val="24"/>
          <w:shd w:val="clear" w:color="auto" w:fill="FFFFFF"/>
          <w:lang w:eastAsia="en-IN"/>
        </w:rPr>
        <w:t> can be compared to securities (like bonds and debentures) that may be issued by banks and other companies to investors.</w:t>
      </w:r>
    </w:p>
    <w:p w:rsidR="00E94B9B" w:rsidRPr="00E94B9B" w:rsidRDefault="00E94B9B" w:rsidP="00E94B9B">
      <w:pPr>
        <w:spacing w:after="0" w:line="240" w:lineRule="auto"/>
        <w:rPr>
          <w:rFonts w:ascii="Times New Roman" w:eastAsia="Times New Roman" w:hAnsi="Times New Roman" w:cs="Times New Roman"/>
          <w:sz w:val="24"/>
          <w:szCs w:val="24"/>
          <w:lang w:eastAsia="en-IN"/>
        </w:rPr>
      </w:pPr>
      <w:bookmarkStart w:id="0" w:name="_gjdgxs"/>
      <w:bookmarkEnd w:id="0"/>
      <w:r w:rsidRPr="00E94B9B">
        <w:rPr>
          <w:rFonts w:ascii="Arial" w:eastAsia="Times New Roman" w:hAnsi="Arial" w:cs="Arial"/>
          <w:sz w:val="24"/>
          <w:szCs w:val="24"/>
          <w:lang w:eastAsia="en-IN"/>
        </w:rPr>
        <w:t>                                                                                                                                                                                                                                                            </w:t>
      </w:r>
      <w:r w:rsidRPr="00E94B9B">
        <w:rPr>
          <w:rFonts w:ascii="Arial" w:eastAsia="Times New Roman" w:hAnsi="Arial" w:cs="Arial"/>
          <w:b/>
          <w:bCs/>
          <w:sz w:val="24"/>
          <w:szCs w:val="24"/>
          <w:lang w:eastAsia="en-IN"/>
        </w:rPr>
        <w:t>(5 X 2 = 10 marks)</w:t>
      </w:r>
    </w:p>
    <w:p w:rsidR="00E94B9B" w:rsidRPr="00E94B9B" w:rsidRDefault="00E94B9B" w:rsidP="00E94B9B">
      <w:pPr>
        <w:spacing w:after="0" w:line="240" w:lineRule="auto"/>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                                                                        </w:t>
      </w:r>
      <w:r w:rsidRPr="00E94B9B">
        <w:rPr>
          <w:rFonts w:ascii="Arial" w:eastAsia="Times New Roman" w:hAnsi="Arial" w:cs="Arial"/>
          <w:b/>
          <w:bCs/>
          <w:sz w:val="24"/>
          <w:szCs w:val="24"/>
          <w:lang w:eastAsia="en-IN"/>
        </w:rPr>
        <w:t>Section B</w:t>
      </w:r>
    </w:p>
    <w:p w:rsidR="00E94B9B" w:rsidRPr="00E94B9B" w:rsidRDefault="00E94B9B" w:rsidP="00E94B9B">
      <w:pPr>
        <w:spacing w:after="0" w:line="240" w:lineRule="auto"/>
        <w:ind w:hanging="720"/>
        <w:jc w:val="center"/>
        <w:rPr>
          <w:rFonts w:ascii="Times New Roman" w:eastAsia="Times New Roman" w:hAnsi="Times New Roman" w:cs="Times New Roman"/>
          <w:sz w:val="24"/>
          <w:szCs w:val="24"/>
          <w:lang w:eastAsia="en-IN"/>
        </w:rPr>
      </w:pPr>
      <w:r w:rsidRPr="00E94B9B">
        <w:rPr>
          <w:rFonts w:ascii="Arial" w:eastAsia="Times New Roman" w:hAnsi="Arial" w:cs="Arial"/>
          <w:i/>
          <w:iCs/>
          <w:sz w:val="24"/>
          <w:szCs w:val="24"/>
          <w:lang w:eastAsia="en-IN"/>
        </w:rPr>
        <w:t>Answer any 5 questions. Each question carries 5 marks.</w:t>
      </w:r>
    </w:p>
    <w:p w:rsidR="00E94B9B" w:rsidRPr="00E94B9B" w:rsidRDefault="00E94B9B" w:rsidP="00E94B9B">
      <w:pPr>
        <w:numPr>
          <w:ilvl w:val="0"/>
          <w:numId w:val="7"/>
        </w:numPr>
        <w:spacing w:before="100" w:beforeAutospacing="1"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Explain the difference between commercial banking and merchant banking</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p>
    <w:tbl>
      <w:tblPr>
        <w:tblW w:w="8503" w:type="dxa"/>
        <w:tblCellMar>
          <w:left w:w="0" w:type="dxa"/>
          <w:right w:w="0" w:type="dxa"/>
        </w:tblCellMar>
        <w:tblLook w:val="04A0" w:firstRow="1" w:lastRow="0" w:firstColumn="1" w:lastColumn="0" w:noHBand="0" w:noVBand="1"/>
      </w:tblPr>
      <w:tblGrid>
        <w:gridCol w:w="2032"/>
        <w:gridCol w:w="3667"/>
        <w:gridCol w:w="2804"/>
      </w:tblGrid>
      <w:tr w:rsidR="00E94B9B" w:rsidRPr="00E94B9B" w:rsidTr="00E94B9B">
        <w:trPr>
          <w:trHeight w:val="936"/>
        </w:trPr>
        <w:tc>
          <w:tcPr>
            <w:tcW w:w="2032" w:type="dxa"/>
            <w:tcBorders>
              <w:top w:val="nil"/>
              <w:left w:val="nil"/>
              <w:bottom w:val="nil"/>
              <w:right w:val="nil"/>
            </w:tcBorders>
            <w:shd w:val="clear" w:color="auto" w:fill="D9EDF7"/>
            <w:tcMar>
              <w:top w:w="120" w:type="dxa"/>
              <w:left w:w="120" w:type="dxa"/>
              <w:bottom w:w="120" w:type="dxa"/>
              <w:right w:w="120" w:type="dxa"/>
            </w:tcMar>
            <w:vAlign w:val="center"/>
            <w:hideMark/>
          </w:tcPr>
          <w:p w:rsidR="00E94B9B" w:rsidRPr="00E94B9B" w:rsidRDefault="00E94B9B" w:rsidP="00E94B9B">
            <w:pPr>
              <w:spacing w:line="365" w:lineRule="atLeast"/>
              <w:jc w:val="center"/>
              <w:rPr>
                <w:rFonts w:ascii="Times New Roman" w:eastAsia="Times New Roman" w:hAnsi="Times New Roman" w:cs="Times New Roman"/>
                <w:sz w:val="24"/>
                <w:szCs w:val="24"/>
                <w:lang w:eastAsia="en-IN"/>
              </w:rPr>
            </w:pPr>
            <w:bookmarkStart w:id="1" w:name="_GoBack"/>
            <w:bookmarkEnd w:id="1"/>
            <w:r w:rsidRPr="00E94B9B">
              <w:rPr>
                <w:rFonts w:ascii="Arial" w:eastAsia="Times New Roman" w:hAnsi="Arial" w:cs="Arial"/>
                <w:b/>
                <w:bCs/>
                <w:color w:val="222222"/>
                <w:sz w:val="18"/>
                <w:szCs w:val="18"/>
                <w:lang w:eastAsia="en-IN"/>
              </w:rPr>
              <w:lastRenderedPageBreak/>
              <w:t>BASIS FOR COMPARISON</w:t>
            </w:r>
          </w:p>
        </w:tc>
        <w:tc>
          <w:tcPr>
            <w:tcW w:w="3667" w:type="dxa"/>
            <w:tcBorders>
              <w:top w:val="nil"/>
              <w:left w:val="nil"/>
              <w:bottom w:val="nil"/>
              <w:right w:val="nil"/>
            </w:tcBorders>
            <w:shd w:val="clear" w:color="auto" w:fill="D9EDF7"/>
            <w:tcMar>
              <w:top w:w="120" w:type="dxa"/>
              <w:left w:w="120" w:type="dxa"/>
              <w:bottom w:w="120" w:type="dxa"/>
              <w:right w:w="120" w:type="dxa"/>
            </w:tcMar>
            <w:vAlign w:val="center"/>
            <w:hideMark/>
          </w:tcPr>
          <w:p w:rsidR="00E94B9B" w:rsidRPr="00E94B9B" w:rsidRDefault="00E94B9B" w:rsidP="00E94B9B">
            <w:pPr>
              <w:spacing w:line="365" w:lineRule="atLeast"/>
              <w:jc w:val="center"/>
              <w:rPr>
                <w:rFonts w:ascii="Times New Roman" w:eastAsia="Times New Roman" w:hAnsi="Times New Roman" w:cs="Times New Roman"/>
                <w:sz w:val="24"/>
                <w:szCs w:val="24"/>
                <w:lang w:eastAsia="en-IN"/>
              </w:rPr>
            </w:pPr>
            <w:r w:rsidRPr="00E94B9B">
              <w:rPr>
                <w:rFonts w:ascii="Arial" w:eastAsia="Times New Roman" w:hAnsi="Arial" w:cs="Arial"/>
                <w:b/>
                <w:bCs/>
                <w:color w:val="222222"/>
                <w:sz w:val="18"/>
                <w:szCs w:val="18"/>
                <w:lang w:eastAsia="en-IN"/>
              </w:rPr>
              <w:t>COMMERCIAL BANK</w:t>
            </w:r>
          </w:p>
        </w:tc>
        <w:tc>
          <w:tcPr>
            <w:tcW w:w="2804" w:type="dxa"/>
            <w:tcBorders>
              <w:top w:val="nil"/>
              <w:left w:val="nil"/>
              <w:bottom w:val="nil"/>
              <w:right w:val="nil"/>
            </w:tcBorders>
            <w:shd w:val="clear" w:color="auto" w:fill="D9EDF7"/>
            <w:tcMar>
              <w:top w:w="120" w:type="dxa"/>
              <w:left w:w="120" w:type="dxa"/>
              <w:bottom w:w="120" w:type="dxa"/>
              <w:right w:w="120" w:type="dxa"/>
            </w:tcMar>
            <w:vAlign w:val="center"/>
            <w:hideMark/>
          </w:tcPr>
          <w:p w:rsidR="00E94B9B" w:rsidRPr="00E94B9B" w:rsidRDefault="00E94B9B" w:rsidP="00E94B9B">
            <w:pPr>
              <w:spacing w:line="365" w:lineRule="atLeast"/>
              <w:jc w:val="center"/>
              <w:rPr>
                <w:rFonts w:ascii="Times New Roman" w:eastAsia="Times New Roman" w:hAnsi="Times New Roman" w:cs="Times New Roman"/>
                <w:sz w:val="24"/>
                <w:szCs w:val="24"/>
                <w:lang w:eastAsia="en-IN"/>
              </w:rPr>
            </w:pPr>
            <w:r w:rsidRPr="00E94B9B">
              <w:rPr>
                <w:rFonts w:ascii="Arial" w:eastAsia="Times New Roman" w:hAnsi="Arial" w:cs="Arial"/>
                <w:b/>
                <w:bCs/>
                <w:color w:val="222222"/>
                <w:sz w:val="18"/>
                <w:szCs w:val="18"/>
                <w:lang w:eastAsia="en-IN"/>
              </w:rPr>
              <w:t>MERCHANT BANK</w:t>
            </w:r>
          </w:p>
        </w:tc>
      </w:tr>
      <w:tr w:rsidR="00E94B9B" w:rsidRPr="00E94B9B" w:rsidTr="00E94B9B">
        <w:trPr>
          <w:trHeight w:val="2394"/>
        </w:trPr>
        <w:tc>
          <w:tcPr>
            <w:tcW w:w="2032" w:type="dxa"/>
            <w:tcBorders>
              <w:top w:val="nil"/>
              <w:left w:val="nil"/>
              <w:bottom w:val="nil"/>
              <w:right w:val="nil"/>
            </w:tcBorders>
            <w:shd w:val="clear" w:color="auto" w:fill="FFFFFF"/>
            <w:tcMar>
              <w:top w:w="120" w:type="dxa"/>
              <w:left w:w="120" w:type="dxa"/>
              <w:bottom w:w="120" w:type="dxa"/>
              <w:right w:w="120" w:type="dxa"/>
            </w:tcMar>
            <w:hideMark/>
          </w:tcPr>
          <w:p w:rsidR="00E94B9B" w:rsidRPr="00E94B9B" w:rsidRDefault="00E94B9B" w:rsidP="00E94B9B">
            <w:pPr>
              <w:spacing w:line="365"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lang w:eastAsia="en-IN"/>
              </w:rPr>
              <w:t>Meaning</w:t>
            </w:r>
          </w:p>
        </w:tc>
        <w:tc>
          <w:tcPr>
            <w:tcW w:w="3667" w:type="dxa"/>
            <w:tcBorders>
              <w:top w:val="nil"/>
              <w:left w:val="nil"/>
              <w:bottom w:val="nil"/>
              <w:right w:val="nil"/>
            </w:tcBorders>
            <w:shd w:val="clear" w:color="auto" w:fill="FFFFFF"/>
            <w:tcMar>
              <w:top w:w="120" w:type="dxa"/>
              <w:left w:w="120" w:type="dxa"/>
              <w:bottom w:w="120" w:type="dxa"/>
              <w:right w:w="120" w:type="dxa"/>
            </w:tcMar>
            <w:hideMark/>
          </w:tcPr>
          <w:p w:rsidR="00E94B9B" w:rsidRPr="00E94B9B" w:rsidRDefault="00E94B9B" w:rsidP="00E94B9B">
            <w:pPr>
              <w:spacing w:line="365"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lang w:eastAsia="en-IN"/>
              </w:rPr>
              <w:t>Commercial bank is a banking company established by a number of people for providing the basic banking functions i.e. accepting deposits and lending money to general public.</w:t>
            </w:r>
          </w:p>
        </w:tc>
        <w:tc>
          <w:tcPr>
            <w:tcW w:w="2804" w:type="dxa"/>
            <w:tcBorders>
              <w:top w:val="nil"/>
              <w:left w:val="nil"/>
              <w:bottom w:val="nil"/>
              <w:right w:val="nil"/>
            </w:tcBorders>
            <w:shd w:val="clear" w:color="auto" w:fill="FFFFFF"/>
            <w:tcMar>
              <w:top w:w="120" w:type="dxa"/>
              <w:left w:w="120" w:type="dxa"/>
              <w:bottom w:w="120" w:type="dxa"/>
              <w:right w:w="120" w:type="dxa"/>
            </w:tcMar>
            <w:hideMark/>
          </w:tcPr>
          <w:p w:rsidR="00E94B9B" w:rsidRPr="00E94B9B" w:rsidRDefault="00E94B9B" w:rsidP="00E94B9B">
            <w:pPr>
              <w:spacing w:line="365"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lang w:eastAsia="en-IN"/>
              </w:rPr>
              <w:t>Merchant bank refers to the financial institution, that specializes in international trade and provide and array of services to its clients.</w:t>
            </w:r>
          </w:p>
        </w:tc>
      </w:tr>
      <w:tr w:rsidR="00E94B9B" w:rsidRPr="00E94B9B" w:rsidTr="00E94B9B">
        <w:trPr>
          <w:trHeight w:val="949"/>
        </w:trPr>
        <w:tc>
          <w:tcPr>
            <w:tcW w:w="2032" w:type="dxa"/>
            <w:tcBorders>
              <w:top w:val="nil"/>
              <w:left w:val="nil"/>
              <w:bottom w:val="nil"/>
              <w:right w:val="nil"/>
            </w:tcBorders>
            <w:shd w:val="clear" w:color="auto" w:fill="F9F9F9"/>
            <w:tcMar>
              <w:top w:w="120" w:type="dxa"/>
              <w:left w:w="120" w:type="dxa"/>
              <w:bottom w:w="120" w:type="dxa"/>
              <w:right w:w="120" w:type="dxa"/>
            </w:tcMar>
            <w:hideMark/>
          </w:tcPr>
          <w:p w:rsidR="00E94B9B" w:rsidRPr="00E94B9B" w:rsidRDefault="00E94B9B" w:rsidP="00E94B9B">
            <w:pPr>
              <w:spacing w:line="365"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lang w:eastAsia="en-IN"/>
              </w:rPr>
              <w:t>Governing Act/body</w:t>
            </w:r>
          </w:p>
        </w:tc>
        <w:tc>
          <w:tcPr>
            <w:tcW w:w="3667" w:type="dxa"/>
            <w:tcBorders>
              <w:top w:val="nil"/>
              <w:left w:val="nil"/>
              <w:bottom w:val="nil"/>
              <w:right w:val="nil"/>
            </w:tcBorders>
            <w:shd w:val="clear" w:color="auto" w:fill="F9F9F9"/>
            <w:tcMar>
              <w:top w:w="120" w:type="dxa"/>
              <w:left w:w="120" w:type="dxa"/>
              <w:bottom w:w="120" w:type="dxa"/>
              <w:right w:w="120" w:type="dxa"/>
            </w:tcMar>
            <w:hideMark/>
          </w:tcPr>
          <w:p w:rsidR="00E94B9B" w:rsidRPr="00E94B9B" w:rsidRDefault="00E94B9B" w:rsidP="00E94B9B">
            <w:pPr>
              <w:spacing w:line="365"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lang w:eastAsia="en-IN"/>
              </w:rPr>
              <w:t>Regulated by Banking Regulation Act, 1949.</w:t>
            </w:r>
          </w:p>
        </w:tc>
        <w:tc>
          <w:tcPr>
            <w:tcW w:w="2804" w:type="dxa"/>
            <w:tcBorders>
              <w:top w:val="nil"/>
              <w:left w:val="nil"/>
              <w:bottom w:val="nil"/>
              <w:right w:val="nil"/>
            </w:tcBorders>
            <w:shd w:val="clear" w:color="auto" w:fill="F9F9F9"/>
            <w:tcMar>
              <w:top w:w="120" w:type="dxa"/>
              <w:left w:w="120" w:type="dxa"/>
              <w:bottom w:w="120" w:type="dxa"/>
              <w:right w:w="120" w:type="dxa"/>
            </w:tcMar>
            <w:hideMark/>
          </w:tcPr>
          <w:p w:rsidR="00E94B9B" w:rsidRPr="00E94B9B" w:rsidRDefault="00E94B9B" w:rsidP="00E94B9B">
            <w:pPr>
              <w:spacing w:line="365"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lang w:eastAsia="en-IN"/>
              </w:rPr>
              <w:t>Rules and regulations designed by SEBI.</w:t>
            </w:r>
          </w:p>
        </w:tc>
      </w:tr>
      <w:tr w:rsidR="00E94B9B" w:rsidRPr="00E94B9B" w:rsidTr="00E94B9B">
        <w:trPr>
          <w:trHeight w:val="949"/>
        </w:trPr>
        <w:tc>
          <w:tcPr>
            <w:tcW w:w="2032" w:type="dxa"/>
            <w:tcBorders>
              <w:top w:val="nil"/>
              <w:left w:val="nil"/>
              <w:bottom w:val="nil"/>
              <w:right w:val="nil"/>
            </w:tcBorders>
            <w:shd w:val="clear" w:color="auto" w:fill="FFFFFF"/>
            <w:tcMar>
              <w:top w:w="120" w:type="dxa"/>
              <w:left w:w="120" w:type="dxa"/>
              <w:bottom w:w="120" w:type="dxa"/>
              <w:right w:w="120" w:type="dxa"/>
            </w:tcMar>
            <w:hideMark/>
          </w:tcPr>
          <w:p w:rsidR="00E94B9B" w:rsidRPr="00E94B9B" w:rsidRDefault="00E94B9B" w:rsidP="00E94B9B">
            <w:pPr>
              <w:spacing w:line="365"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lang w:eastAsia="en-IN"/>
              </w:rPr>
              <w:t>Engaged in</w:t>
            </w:r>
          </w:p>
        </w:tc>
        <w:tc>
          <w:tcPr>
            <w:tcW w:w="3667" w:type="dxa"/>
            <w:tcBorders>
              <w:top w:val="nil"/>
              <w:left w:val="nil"/>
              <w:bottom w:val="nil"/>
              <w:right w:val="nil"/>
            </w:tcBorders>
            <w:shd w:val="clear" w:color="auto" w:fill="FFFFFF"/>
            <w:tcMar>
              <w:top w:w="120" w:type="dxa"/>
              <w:left w:w="120" w:type="dxa"/>
              <w:bottom w:w="120" w:type="dxa"/>
              <w:right w:w="120" w:type="dxa"/>
            </w:tcMar>
            <w:hideMark/>
          </w:tcPr>
          <w:p w:rsidR="00E94B9B" w:rsidRPr="00E94B9B" w:rsidRDefault="00E94B9B" w:rsidP="00E94B9B">
            <w:pPr>
              <w:spacing w:line="365"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lang w:eastAsia="en-IN"/>
              </w:rPr>
              <w:t>General banking business</w:t>
            </w:r>
          </w:p>
        </w:tc>
        <w:tc>
          <w:tcPr>
            <w:tcW w:w="2804" w:type="dxa"/>
            <w:tcBorders>
              <w:top w:val="nil"/>
              <w:left w:val="nil"/>
              <w:bottom w:val="nil"/>
              <w:right w:val="nil"/>
            </w:tcBorders>
            <w:shd w:val="clear" w:color="auto" w:fill="FFFFFF"/>
            <w:tcMar>
              <w:top w:w="120" w:type="dxa"/>
              <w:left w:w="120" w:type="dxa"/>
              <w:bottom w:w="120" w:type="dxa"/>
              <w:right w:w="120" w:type="dxa"/>
            </w:tcMar>
            <w:hideMark/>
          </w:tcPr>
          <w:p w:rsidR="00E94B9B" w:rsidRPr="00E94B9B" w:rsidRDefault="00E94B9B" w:rsidP="00E94B9B">
            <w:pPr>
              <w:spacing w:line="365"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lang w:eastAsia="en-IN"/>
              </w:rPr>
              <w:t>Consultancy type business</w:t>
            </w:r>
          </w:p>
        </w:tc>
      </w:tr>
      <w:tr w:rsidR="00E94B9B" w:rsidRPr="00E94B9B" w:rsidTr="00E94B9B">
        <w:trPr>
          <w:trHeight w:val="949"/>
        </w:trPr>
        <w:tc>
          <w:tcPr>
            <w:tcW w:w="2032" w:type="dxa"/>
            <w:tcBorders>
              <w:top w:val="nil"/>
              <w:left w:val="nil"/>
              <w:bottom w:val="nil"/>
              <w:right w:val="nil"/>
            </w:tcBorders>
            <w:shd w:val="clear" w:color="auto" w:fill="F9F9F9"/>
            <w:tcMar>
              <w:top w:w="120" w:type="dxa"/>
              <w:left w:w="120" w:type="dxa"/>
              <w:bottom w:w="120" w:type="dxa"/>
              <w:right w:w="120" w:type="dxa"/>
            </w:tcMar>
            <w:hideMark/>
          </w:tcPr>
          <w:p w:rsidR="00E94B9B" w:rsidRPr="00E94B9B" w:rsidRDefault="00E94B9B" w:rsidP="00E94B9B">
            <w:pPr>
              <w:spacing w:line="365"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lang w:eastAsia="en-IN"/>
              </w:rPr>
              <w:t>Nature of loan extended</w:t>
            </w:r>
          </w:p>
        </w:tc>
        <w:tc>
          <w:tcPr>
            <w:tcW w:w="3667" w:type="dxa"/>
            <w:tcBorders>
              <w:top w:val="nil"/>
              <w:left w:val="nil"/>
              <w:bottom w:val="nil"/>
              <w:right w:val="nil"/>
            </w:tcBorders>
            <w:shd w:val="clear" w:color="auto" w:fill="F9F9F9"/>
            <w:tcMar>
              <w:top w:w="120" w:type="dxa"/>
              <w:left w:w="120" w:type="dxa"/>
              <w:bottom w:w="120" w:type="dxa"/>
              <w:right w:w="120" w:type="dxa"/>
            </w:tcMar>
            <w:hideMark/>
          </w:tcPr>
          <w:p w:rsidR="00E94B9B" w:rsidRPr="00E94B9B" w:rsidRDefault="00E94B9B" w:rsidP="00E94B9B">
            <w:pPr>
              <w:spacing w:line="365"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lang w:eastAsia="en-IN"/>
              </w:rPr>
              <w:t>Debt-related</w:t>
            </w:r>
          </w:p>
        </w:tc>
        <w:tc>
          <w:tcPr>
            <w:tcW w:w="2804" w:type="dxa"/>
            <w:tcBorders>
              <w:top w:val="nil"/>
              <w:left w:val="nil"/>
              <w:bottom w:val="nil"/>
              <w:right w:val="nil"/>
            </w:tcBorders>
            <w:shd w:val="clear" w:color="auto" w:fill="F9F9F9"/>
            <w:tcMar>
              <w:top w:w="120" w:type="dxa"/>
              <w:left w:w="120" w:type="dxa"/>
              <w:bottom w:w="120" w:type="dxa"/>
              <w:right w:w="120" w:type="dxa"/>
            </w:tcMar>
            <w:hideMark/>
          </w:tcPr>
          <w:p w:rsidR="00E94B9B" w:rsidRPr="00E94B9B" w:rsidRDefault="00E94B9B" w:rsidP="00E94B9B">
            <w:pPr>
              <w:spacing w:line="365"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lang w:eastAsia="en-IN"/>
              </w:rPr>
              <w:t>Equity-related</w:t>
            </w:r>
          </w:p>
        </w:tc>
      </w:tr>
      <w:tr w:rsidR="00E94B9B" w:rsidRPr="00E94B9B" w:rsidTr="00E94B9B">
        <w:trPr>
          <w:trHeight w:val="588"/>
        </w:trPr>
        <w:tc>
          <w:tcPr>
            <w:tcW w:w="2032" w:type="dxa"/>
            <w:tcBorders>
              <w:top w:val="nil"/>
              <w:left w:val="nil"/>
              <w:bottom w:val="nil"/>
              <w:right w:val="nil"/>
            </w:tcBorders>
            <w:shd w:val="clear" w:color="auto" w:fill="FFFFFF"/>
            <w:tcMar>
              <w:top w:w="120" w:type="dxa"/>
              <w:left w:w="120" w:type="dxa"/>
              <w:bottom w:w="120" w:type="dxa"/>
              <w:right w:w="120" w:type="dxa"/>
            </w:tcMar>
            <w:hideMark/>
          </w:tcPr>
          <w:p w:rsidR="00E94B9B" w:rsidRPr="00E94B9B" w:rsidRDefault="00E94B9B" w:rsidP="00E94B9B">
            <w:pPr>
              <w:spacing w:line="365"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lang w:eastAsia="en-IN"/>
              </w:rPr>
              <w:t>Exposure to risk</w:t>
            </w:r>
          </w:p>
        </w:tc>
        <w:tc>
          <w:tcPr>
            <w:tcW w:w="3667" w:type="dxa"/>
            <w:tcBorders>
              <w:top w:val="nil"/>
              <w:left w:val="nil"/>
              <w:bottom w:val="nil"/>
              <w:right w:val="nil"/>
            </w:tcBorders>
            <w:shd w:val="clear" w:color="auto" w:fill="FFFFFF"/>
            <w:tcMar>
              <w:top w:w="120" w:type="dxa"/>
              <w:left w:w="120" w:type="dxa"/>
              <w:bottom w:w="120" w:type="dxa"/>
              <w:right w:w="120" w:type="dxa"/>
            </w:tcMar>
            <w:hideMark/>
          </w:tcPr>
          <w:p w:rsidR="00E94B9B" w:rsidRPr="00E94B9B" w:rsidRDefault="00E94B9B" w:rsidP="00E94B9B">
            <w:pPr>
              <w:spacing w:line="365"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lang w:eastAsia="en-IN"/>
              </w:rPr>
              <w:t>Less</w:t>
            </w:r>
          </w:p>
        </w:tc>
        <w:tc>
          <w:tcPr>
            <w:tcW w:w="2804" w:type="dxa"/>
            <w:tcBorders>
              <w:top w:val="nil"/>
              <w:left w:val="nil"/>
              <w:bottom w:val="nil"/>
              <w:right w:val="nil"/>
            </w:tcBorders>
            <w:shd w:val="clear" w:color="auto" w:fill="FFFFFF"/>
            <w:tcMar>
              <w:top w:w="120" w:type="dxa"/>
              <w:left w:w="120" w:type="dxa"/>
              <w:bottom w:w="120" w:type="dxa"/>
              <w:right w:w="120" w:type="dxa"/>
            </w:tcMar>
            <w:hideMark/>
          </w:tcPr>
          <w:p w:rsidR="00E94B9B" w:rsidRPr="00E94B9B" w:rsidRDefault="00E94B9B" w:rsidP="00E94B9B">
            <w:pPr>
              <w:spacing w:line="365"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lang w:eastAsia="en-IN"/>
              </w:rPr>
              <w:t>Comparatively more</w:t>
            </w:r>
          </w:p>
        </w:tc>
      </w:tr>
      <w:tr w:rsidR="00E94B9B" w:rsidRPr="00E94B9B" w:rsidTr="00E94B9B">
        <w:trPr>
          <w:trHeight w:val="588"/>
        </w:trPr>
        <w:tc>
          <w:tcPr>
            <w:tcW w:w="2032" w:type="dxa"/>
            <w:tcBorders>
              <w:top w:val="nil"/>
              <w:left w:val="nil"/>
              <w:bottom w:val="nil"/>
              <w:right w:val="nil"/>
            </w:tcBorders>
            <w:shd w:val="clear" w:color="auto" w:fill="F9F9F9"/>
            <w:tcMar>
              <w:top w:w="120" w:type="dxa"/>
              <w:left w:w="120" w:type="dxa"/>
              <w:bottom w:w="120" w:type="dxa"/>
              <w:right w:w="120" w:type="dxa"/>
            </w:tcMar>
            <w:hideMark/>
          </w:tcPr>
          <w:p w:rsidR="00E94B9B" w:rsidRPr="00E94B9B" w:rsidRDefault="00E94B9B" w:rsidP="00E94B9B">
            <w:pPr>
              <w:spacing w:line="365"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lang w:eastAsia="en-IN"/>
              </w:rPr>
              <w:t>Role</w:t>
            </w:r>
          </w:p>
        </w:tc>
        <w:tc>
          <w:tcPr>
            <w:tcW w:w="3667" w:type="dxa"/>
            <w:tcBorders>
              <w:top w:val="nil"/>
              <w:left w:val="nil"/>
              <w:bottom w:val="nil"/>
              <w:right w:val="nil"/>
            </w:tcBorders>
            <w:shd w:val="clear" w:color="auto" w:fill="F9F9F9"/>
            <w:tcMar>
              <w:top w:w="120" w:type="dxa"/>
              <w:left w:w="120" w:type="dxa"/>
              <w:bottom w:w="120" w:type="dxa"/>
              <w:right w:w="120" w:type="dxa"/>
            </w:tcMar>
            <w:hideMark/>
          </w:tcPr>
          <w:p w:rsidR="00E94B9B" w:rsidRPr="00E94B9B" w:rsidRDefault="00E94B9B" w:rsidP="00E94B9B">
            <w:pPr>
              <w:spacing w:line="365"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lang w:eastAsia="en-IN"/>
              </w:rPr>
              <w:t>Financier</w:t>
            </w:r>
          </w:p>
        </w:tc>
        <w:tc>
          <w:tcPr>
            <w:tcW w:w="2804" w:type="dxa"/>
            <w:tcBorders>
              <w:top w:val="nil"/>
              <w:left w:val="nil"/>
              <w:bottom w:val="nil"/>
              <w:right w:val="nil"/>
            </w:tcBorders>
            <w:shd w:val="clear" w:color="auto" w:fill="F9F9F9"/>
            <w:tcMar>
              <w:top w:w="120" w:type="dxa"/>
              <w:left w:w="120" w:type="dxa"/>
              <w:bottom w:w="120" w:type="dxa"/>
              <w:right w:w="120" w:type="dxa"/>
            </w:tcMar>
            <w:hideMark/>
          </w:tcPr>
          <w:p w:rsidR="00E94B9B" w:rsidRPr="00E94B9B" w:rsidRDefault="00E94B9B" w:rsidP="00E94B9B">
            <w:pPr>
              <w:spacing w:line="365"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lang w:eastAsia="en-IN"/>
              </w:rPr>
              <w:t>Financial Advisor</w:t>
            </w:r>
          </w:p>
        </w:tc>
      </w:tr>
      <w:tr w:rsidR="00E94B9B" w:rsidRPr="00E94B9B" w:rsidTr="00E94B9B">
        <w:trPr>
          <w:trHeight w:val="1310"/>
        </w:trPr>
        <w:tc>
          <w:tcPr>
            <w:tcW w:w="2032" w:type="dxa"/>
            <w:tcBorders>
              <w:top w:val="nil"/>
              <w:left w:val="nil"/>
              <w:bottom w:val="nil"/>
              <w:right w:val="nil"/>
            </w:tcBorders>
            <w:shd w:val="clear" w:color="auto" w:fill="F3F3F3"/>
            <w:tcMar>
              <w:top w:w="120" w:type="dxa"/>
              <w:left w:w="120" w:type="dxa"/>
              <w:bottom w:w="120" w:type="dxa"/>
              <w:right w:w="120" w:type="dxa"/>
            </w:tcMar>
            <w:hideMark/>
          </w:tcPr>
          <w:p w:rsidR="00E94B9B" w:rsidRPr="00E94B9B" w:rsidRDefault="00E94B9B" w:rsidP="00E94B9B">
            <w:pPr>
              <w:spacing w:line="365"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lang w:eastAsia="en-IN"/>
              </w:rPr>
              <w:t>Caters</w:t>
            </w:r>
          </w:p>
        </w:tc>
        <w:tc>
          <w:tcPr>
            <w:tcW w:w="3667" w:type="dxa"/>
            <w:tcBorders>
              <w:top w:val="nil"/>
              <w:left w:val="nil"/>
              <w:bottom w:val="nil"/>
              <w:right w:val="nil"/>
            </w:tcBorders>
            <w:shd w:val="clear" w:color="auto" w:fill="F3F3F3"/>
            <w:tcMar>
              <w:top w:w="120" w:type="dxa"/>
              <w:left w:w="120" w:type="dxa"/>
              <w:bottom w:w="120" w:type="dxa"/>
              <w:right w:w="120" w:type="dxa"/>
            </w:tcMar>
            <w:hideMark/>
          </w:tcPr>
          <w:p w:rsidR="00E94B9B" w:rsidRPr="00E94B9B" w:rsidRDefault="00E94B9B" w:rsidP="00E94B9B">
            <w:pPr>
              <w:spacing w:line="365"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lang w:eastAsia="en-IN"/>
              </w:rPr>
              <w:t>Needs of general public.</w:t>
            </w:r>
          </w:p>
        </w:tc>
        <w:tc>
          <w:tcPr>
            <w:tcW w:w="2804" w:type="dxa"/>
            <w:tcBorders>
              <w:top w:val="nil"/>
              <w:left w:val="nil"/>
              <w:bottom w:val="nil"/>
              <w:right w:val="nil"/>
            </w:tcBorders>
            <w:shd w:val="clear" w:color="auto" w:fill="F3F3F3"/>
            <w:tcMar>
              <w:top w:w="120" w:type="dxa"/>
              <w:left w:w="120" w:type="dxa"/>
              <w:bottom w:w="120" w:type="dxa"/>
              <w:right w:w="120" w:type="dxa"/>
            </w:tcMar>
            <w:hideMark/>
          </w:tcPr>
          <w:p w:rsidR="00E94B9B" w:rsidRPr="00E94B9B" w:rsidRDefault="00E94B9B" w:rsidP="00E94B9B">
            <w:pPr>
              <w:spacing w:line="365"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222222"/>
                <w:sz w:val="24"/>
                <w:szCs w:val="24"/>
                <w:lang w:eastAsia="en-IN"/>
              </w:rPr>
              <w:t>Needs of corporate firms.</w:t>
            </w:r>
          </w:p>
          <w:p w:rsidR="00E94B9B" w:rsidRPr="00E94B9B" w:rsidRDefault="00E94B9B" w:rsidP="00E94B9B">
            <w:pPr>
              <w:spacing w:line="365" w:lineRule="atLeast"/>
              <w:jc w:val="both"/>
              <w:rPr>
                <w:rFonts w:ascii="Times New Roman" w:eastAsia="Times New Roman" w:hAnsi="Times New Roman" w:cs="Times New Roman"/>
                <w:sz w:val="24"/>
                <w:szCs w:val="24"/>
                <w:lang w:eastAsia="en-IN"/>
              </w:rPr>
            </w:pPr>
          </w:p>
        </w:tc>
      </w:tr>
    </w:tbl>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p>
    <w:p w:rsidR="00E94B9B" w:rsidRPr="00E94B9B" w:rsidRDefault="00E94B9B" w:rsidP="00E94B9B">
      <w:pPr>
        <w:numPr>
          <w:ilvl w:val="0"/>
          <w:numId w:val="8"/>
        </w:numPr>
        <w:spacing w:before="100" w:beforeAutospacing="1"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State the features of Venture Capital Financing.</w:t>
      </w:r>
    </w:p>
    <w:p w:rsidR="00E94B9B" w:rsidRPr="00E94B9B" w:rsidRDefault="00E94B9B" w:rsidP="00E94B9B">
      <w:pPr>
        <w:spacing w:after="0" w:line="240" w:lineRule="auto"/>
        <w:ind w:hanging="360"/>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t>
      </w:r>
      <w:r w:rsidRPr="00E94B9B">
        <w:rPr>
          <w:rFonts w:ascii="&quot;times new roman&quot;" w:eastAsia="Times New Roman" w:hAnsi="&quot;times new roman&quot;" w:cs="Arial"/>
          <w:sz w:val="14"/>
          <w:szCs w:val="14"/>
          <w:lang w:eastAsia="en-IN"/>
        </w:rPr>
        <w:t>       </w:t>
      </w:r>
      <w:r w:rsidRPr="00E94B9B">
        <w:rPr>
          <w:rFonts w:ascii="Arial" w:eastAsia="Times New Roman" w:hAnsi="Arial" w:cs="Arial"/>
          <w:sz w:val="24"/>
          <w:szCs w:val="24"/>
          <w:lang w:eastAsia="en-IN"/>
        </w:rPr>
        <w:t>Basically an equity finance</w:t>
      </w:r>
    </w:p>
    <w:p w:rsidR="00E94B9B" w:rsidRPr="00E94B9B" w:rsidRDefault="00E94B9B" w:rsidP="00E94B9B">
      <w:pPr>
        <w:spacing w:after="0" w:line="240" w:lineRule="auto"/>
        <w:ind w:hanging="360"/>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t>
      </w:r>
      <w:r w:rsidRPr="00E94B9B">
        <w:rPr>
          <w:rFonts w:ascii="&quot;times new roman&quot;" w:eastAsia="Times New Roman" w:hAnsi="&quot;times new roman&quot;" w:cs="Arial"/>
          <w:sz w:val="14"/>
          <w:szCs w:val="14"/>
          <w:lang w:eastAsia="en-IN"/>
        </w:rPr>
        <w:t>       </w:t>
      </w:r>
      <w:r w:rsidRPr="00E94B9B">
        <w:rPr>
          <w:rFonts w:ascii="Arial" w:eastAsia="Times New Roman" w:hAnsi="Arial" w:cs="Arial"/>
          <w:sz w:val="24"/>
          <w:szCs w:val="24"/>
          <w:lang w:eastAsia="en-IN"/>
        </w:rPr>
        <w:t>based on new ideas</w:t>
      </w:r>
    </w:p>
    <w:p w:rsidR="00E94B9B" w:rsidRPr="00E94B9B" w:rsidRDefault="00E94B9B" w:rsidP="00E94B9B">
      <w:pPr>
        <w:spacing w:after="0" w:line="240" w:lineRule="auto"/>
        <w:ind w:hanging="360"/>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t>
      </w:r>
      <w:r w:rsidRPr="00E94B9B">
        <w:rPr>
          <w:rFonts w:ascii="&quot;times new roman&quot;" w:eastAsia="Times New Roman" w:hAnsi="&quot;times new roman&quot;" w:cs="Arial"/>
          <w:sz w:val="14"/>
          <w:szCs w:val="14"/>
          <w:lang w:eastAsia="en-IN"/>
        </w:rPr>
        <w:t>       </w:t>
      </w:r>
      <w:proofErr w:type="spellStart"/>
      <w:r w:rsidRPr="00E94B9B">
        <w:rPr>
          <w:rFonts w:ascii="Arial" w:eastAsia="Times New Roman" w:hAnsi="Arial" w:cs="Arial"/>
          <w:sz w:val="24"/>
          <w:szCs w:val="24"/>
          <w:lang w:eastAsia="en-IN"/>
        </w:rPr>
        <w:t>co promoter</w:t>
      </w:r>
      <w:proofErr w:type="spellEnd"/>
    </w:p>
    <w:p w:rsidR="00E94B9B" w:rsidRPr="00E94B9B" w:rsidRDefault="00E94B9B" w:rsidP="00E94B9B">
      <w:pPr>
        <w:spacing w:after="0" w:line="240" w:lineRule="auto"/>
        <w:ind w:hanging="360"/>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t>
      </w:r>
      <w:r w:rsidRPr="00E94B9B">
        <w:rPr>
          <w:rFonts w:ascii="&quot;times new roman&quot;" w:eastAsia="Times New Roman" w:hAnsi="&quot;times new roman&quot;" w:cs="Arial"/>
          <w:sz w:val="14"/>
          <w:szCs w:val="14"/>
          <w:lang w:eastAsia="en-IN"/>
        </w:rPr>
        <w:t>       </w:t>
      </w:r>
      <w:r w:rsidRPr="00E94B9B">
        <w:rPr>
          <w:rFonts w:ascii="Arial" w:eastAsia="Times New Roman" w:hAnsi="Arial" w:cs="Arial"/>
          <w:sz w:val="24"/>
          <w:szCs w:val="24"/>
          <w:lang w:eastAsia="en-IN"/>
        </w:rPr>
        <w:t>long term investment in growth oriented industries</w:t>
      </w:r>
    </w:p>
    <w:p w:rsidR="00E94B9B" w:rsidRPr="00E94B9B" w:rsidRDefault="00E94B9B" w:rsidP="00E94B9B">
      <w:pPr>
        <w:spacing w:after="0" w:line="240" w:lineRule="auto"/>
        <w:ind w:hanging="360"/>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t>
      </w:r>
      <w:r w:rsidRPr="00E94B9B">
        <w:rPr>
          <w:rFonts w:ascii="&quot;times new roman&quot;" w:eastAsia="Times New Roman" w:hAnsi="&quot;times new roman&quot;" w:cs="Arial"/>
          <w:sz w:val="14"/>
          <w:szCs w:val="14"/>
          <w:lang w:eastAsia="en-IN"/>
        </w:rPr>
        <w:t>       </w:t>
      </w:r>
      <w:r w:rsidRPr="00E94B9B">
        <w:rPr>
          <w:rFonts w:ascii="Arial" w:eastAsia="Times New Roman" w:hAnsi="Arial" w:cs="Arial"/>
          <w:sz w:val="24"/>
          <w:szCs w:val="24"/>
          <w:lang w:eastAsia="en-IN"/>
        </w:rPr>
        <w:t>high risk investment</w:t>
      </w:r>
    </w:p>
    <w:p w:rsidR="00E94B9B" w:rsidRPr="00E94B9B" w:rsidRDefault="00E94B9B" w:rsidP="00E94B9B">
      <w:pPr>
        <w:spacing w:after="0" w:line="240" w:lineRule="auto"/>
        <w:ind w:hanging="360"/>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t>
      </w:r>
      <w:r w:rsidRPr="00E94B9B">
        <w:rPr>
          <w:rFonts w:ascii="&quot;times new roman&quot;" w:eastAsia="Times New Roman" w:hAnsi="&quot;times new roman&quot;" w:cs="Arial"/>
          <w:sz w:val="14"/>
          <w:szCs w:val="14"/>
          <w:lang w:eastAsia="en-IN"/>
        </w:rPr>
        <w:t>       </w:t>
      </w:r>
      <w:r w:rsidRPr="00E94B9B">
        <w:rPr>
          <w:rFonts w:ascii="Arial" w:eastAsia="Times New Roman" w:hAnsi="Arial" w:cs="Arial"/>
          <w:sz w:val="24"/>
          <w:szCs w:val="24"/>
          <w:lang w:eastAsia="en-IN"/>
        </w:rPr>
        <w:t>provision of business expertise</w:t>
      </w:r>
    </w:p>
    <w:p w:rsidR="00E94B9B" w:rsidRPr="00E94B9B" w:rsidRDefault="00E94B9B" w:rsidP="00E94B9B">
      <w:pPr>
        <w:spacing w:after="0" w:line="240" w:lineRule="auto"/>
        <w:ind w:hanging="360"/>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t>
      </w:r>
      <w:r w:rsidRPr="00E94B9B">
        <w:rPr>
          <w:rFonts w:ascii="&quot;times new roman&quot;" w:eastAsia="Times New Roman" w:hAnsi="&quot;times new roman&quot;" w:cs="Arial"/>
          <w:sz w:val="14"/>
          <w:szCs w:val="14"/>
          <w:lang w:eastAsia="en-IN"/>
        </w:rPr>
        <w:t>       </w:t>
      </w:r>
      <w:r w:rsidRPr="00E94B9B">
        <w:rPr>
          <w:rFonts w:ascii="Arial" w:eastAsia="Times New Roman" w:hAnsi="Arial" w:cs="Arial"/>
          <w:sz w:val="24"/>
          <w:szCs w:val="24"/>
          <w:lang w:eastAsia="en-IN"/>
        </w:rPr>
        <w:t>financing small and medium firms</w:t>
      </w:r>
    </w:p>
    <w:p w:rsidR="00E94B9B" w:rsidRPr="00E94B9B" w:rsidRDefault="00E94B9B" w:rsidP="00E94B9B">
      <w:pPr>
        <w:spacing w:after="0" w:line="240" w:lineRule="auto"/>
        <w:ind w:hanging="360"/>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t>
      </w:r>
      <w:r w:rsidRPr="00E94B9B">
        <w:rPr>
          <w:rFonts w:ascii="&quot;times new roman&quot;" w:eastAsia="Times New Roman" w:hAnsi="&quot;times new roman&quot;" w:cs="Arial"/>
          <w:sz w:val="14"/>
          <w:szCs w:val="14"/>
          <w:lang w:eastAsia="en-IN"/>
        </w:rPr>
        <w:t>       </w:t>
      </w:r>
      <w:r w:rsidRPr="00E94B9B">
        <w:rPr>
          <w:rFonts w:ascii="Arial" w:eastAsia="Times New Roman" w:hAnsi="Arial" w:cs="Arial"/>
          <w:sz w:val="24"/>
          <w:szCs w:val="24"/>
          <w:lang w:eastAsia="en-IN"/>
        </w:rPr>
        <w:t>sale of share in open market</w:t>
      </w:r>
    </w:p>
    <w:p w:rsidR="00E94B9B" w:rsidRPr="00E94B9B" w:rsidRDefault="00E94B9B" w:rsidP="00E94B9B">
      <w:pPr>
        <w:numPr>
          <w:ilvl w:val="0"/>
          <w:numId w:val="9"/>
        </w:numPr>
        <w:spacing w:before="100" w:beforeAutospacing="1"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lastRenderedPageBreak/>
        <w:t>Explain the features of merchant banking.</w:t>
      </w:r>
    </w:p>
    <w:p w:rsidR="00E94B9B" w:rsidRPr="00E94B9B" w:rsidRDefault="00E94B9B" w:rsidP="00E94B9B">
      <w:pPr>
        <w:spacing w:after="0" w:line="240" w:lineRule="auto"/>
        <w:ind w:hanging="360"/>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t>
      </w:r>
      <w:r w:rsidRPr="00E94B9B">
        <w:rPr>
          <w:rFonts w:ascii="&quot;times new roman&quot;" w:eastAsia="Times New Roman" w:hAnsi="&quot;times new roman&quot;" w:cs="Arial"/>
          <w:sz w:val="14"/>
          <w:szCs w:val="14"/>
          <w:lang w:eastAsia="en-IN"/>
        </w:rPr>
        <w:t>       </w:t>
      </w:r>
      <w:r w:rsidRPr="00E94B9B">
        <w:rPr>
          <w:rFonts w:ascii="Arial" w:eastAsia="Times New Roman" w:hAnsi="Arial" w:cs="Arial"/>
          <w:sz w:val="24"/>
          <w:szCs w:val="24"/>
          <w:lang w:eastAsia="en-IN"/>
        </w:rPr>
        <w:t>corporate counselling</w:t>
      </w:r>
    </w:p>
    <w:p w:rsidR="00E94B9B" w:rsidRPr="00E94B9B" w:rsidRDefault="00E94B9B" w:rsidP="00E94B9B">
      <w:pPr>
        <w:spacing w:after="0" w:line="240" w:lineRule="auto"/>
        <w:ind w:hanging="360"/>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t>
      </w:r>
      <w:r w:rsidRPr="00E94B9B">
        <w:rPr>
          <w:rFonts w:ascii="&quot;times new roman&quot;" w:eastAsia="Times New Roman" w:hAnsi="&quot;times new roman&quot;" w:cs="Arial"/>
          <w:sz w:val="14"/>
          <w:szCs w:val="14"/>
          <w:lang w:eastAsia="en-IN"/>
        </w:rPr>
        <w:t>       </w:t>
      </w:r>
      <w:r w:rsidRPr="00E94B9B">
        <w:rPr>
          <w:rFonts w:ascii="Arial" w:eastAsia="Times New Roman" w:hAnsi="Arial" w:cs="Arial"/>
          <w:sz w:val="24"/>
          <w:szCs w:val="24"/>
          <w:lang w:eastAsia="en-IN"/>
        </w:rPr>
        <w:t>project counselling</w:t>
      </w:r>
    </w:p>
    <w:p w:rsidR="00E94B9B" w:rsidRPr="00E94B9B" w:rsidRDefault="00E94B9B" w:rsidP="00E94B9B">
      <w:pPr>
        <w:spacing w:after="0" w:line="240" w:lineRule="auto"/>
        <w:ind w:hanging="360"/>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t>
      </w:r>
      <w:r w:rsidRPr="00E94B9B">
        <w:rPr>
          <w:rFonts w:ascii="&quot;times new roman&quot;" w:eastAsia="Times New Roman" w:hAnsi="&quot;times new roman&quot;" w:cs="Arial"/>
          <w:sz w:val="14"/>
          <w:szCs w:val="14"/>
          <w:lang w:eastAsia="en-IN"/>
        </w:rPr>
        <w:t>       </w:t>
      </w:r>
      <w:r w:rsidRPr="00E94B9B">
        <w:rPr>
          <w:rFonts w:ascii="Arial" w:eastAsia="Times New Roman" w:hAnsi="Arial" w:cs="Arial"/>
          <w:sz w:val="24"/>
          <w:szCs w:val="24"/>
          <w:lang w:eastAsia="en-IN"/>
        </w:rPr>
        <w:t>credit syndication</w:t>
      </w:r>
    </w:p>
    <w:p w:rsidR="00E94B9B" w:rsidRPr="00E94B9B" w:rsidRDefault="00E94B9B" w:rsidP="00E94B9B">
      <w:pPr>
        <w:spacing w:after="0" w:line="240" w:lineRule="auto"/>
        <w:ind w:hanging="360"/>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t>
      </w:r>
      <w:r w:rsidRPr="00E94B9B">
        <w:rPr>
          <w:rFonts w:ascii="&quot;times new roman&quot;" w:eastAsia="Times New Roman" w:hAnsi="&quot;times new roman&quot;" w:cs="Arial"/>
          <w:sz w:val="14"/>
          <w:szCs w:val="14"/>
          <w:lang w:eastAsia="en-IN"/>
        </w:rPr>
        <w:t>       </w:t>
      </w:r>
      <w:r w:rsidRPr="00E94B9B">
        <w:rPr>
          <w:rFonts w:ascii="Arial" w:eastAsia="Times New Roman" w:hAnsi="Arial" w:cs="Arial"/>
          <w:sz w:val="24"/>
          <w:szCs w:val="24"/>
          <w:lang w:eastAsia="en-IN"/>
        </w:rPr>
        <w:t>issue management</w:t>
      </w:r>
    </w:p>
    <w:p w:rsidR="00E94B9B" w:rsidRPr="00E94B9B" w:rsidRDefault="00E94B9B" w:rsidP="00E94B9B">
      <w:pPr>
        <w:spacing w:after="0" w:line="240" w:lineRule="auto"/>
        <w:ind w:hanging="360"/>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t>
      </w:r>
      <w:r w:rsidRPr="00E94B9B">
        <w:rPr>
          <w:rFonts w:ascii="&quot;times new roman&quot;" w:eastAsia="Times New Roman" w:hAnsi="&quot;times new roman&quot;" w:cs="Arial"/>
          <w:sz w:val="14"/>
          <w:szCs w:val="14"/>
          <w:lang w:eastAsia="en-IN"/>
        </w:rPr>
        <w:t>       </w:t>
      </w:r>
      <w:r w:rsidRPr="00E94B9B">
        <w:rPr>
          <w:rFonts w:ascii="Arial" w:eastAsia="Times New Roman" w:hAnsi="Arial" w:cs="Arial"/>
          <w:sz w:val="24"/>
          <w:szCs w:val="24"/>
          <w:lang w:eastAsia="en-IN"/>
        </w:rPr>
        <w:t>underwriting</w:t>
      </w:r>
    </w:p>
    <w:p w:rsidR="00E94B9B" w:rsidRPr="00E94B9B" w:rsidRDefault="00E94B9B" w:rsidP="00E94B9B">
      <w:pPr>
        <w:spacing w:after="0" w:line="240" w:lineRule="auto"/>
        <w:ind w:hanging="360"/>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t>
      </w:r>
      <w:r w:rsidRPr="00E94B9B">
        <w:rPr>
          <w:rFonts w:ascii="&quot;times new roman&quot;" w:eastAsia="Times New Roman" w:hAnsi="&quot;times new roman&quot;" w:cs="Arial"/>
          <w:sz w:val="14"/>
          <w:szCs w:val="14"/>
          <w:lang w:eastAsia="en-IN"/>
        </w:rPr>
        <w:t>       </w:t>
      </w:r>
      <w:r w:rsidRPr="00E94B9B">
        <w:rPr>
          <w:rFonts w:ascii="Arial" w:eastAsia="Times New Roman" w:hAnsi="Arial" w:cs="Arial"/>
          <w:sz w:val="24"/>
          <w:szCs w:val="24"/>
          <w:lang w:eastAsia="en-IN"/>
        </w:rPr>
        <w:t>bankers to the issue</w:t>
      </w:r>
    </w:p>
    <w:p w:rsidR="00E94B9B" w:rsidRPr="00E94B9B" w:rsidRDefault="00E94B9B" w:rsidP="00E94B9B">
      <w:pPr>
        <w:spacing w:after="0" w:line="240" w:lineRule="auto"/>
        <w:ind w:hanging="360"/>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t>
      </w:r>
      <w:r w:rsidRPr="00E94B9B">
        <w:rPr>
          <w:rFonts w:ascii="&quot;times new roman&quot;" w:eastAsia="Times New Roman" w:hAnsi="&quot;times new roman&quot;" w:cs="Arial"/>
          <w:sz w:val="14"/>
          <w:szCs w:val="14"/>
          <w:lang w:eastAsia="en-IN"/>
        </w:rPr>
        <w:t>       </w:t>
      </w:r>
      <w:r w:rsidRPr="00E94B9B">
        <w:rPr>
          <w:rFonts w:ascii="Arial" w:eastAsia="Times New Roman" w:hAnsi="Arial" w:cs="Arial"/>
          <w:sz w:val="24"/>
          <w:szCs w:val="24"/>
          <w:lang w:eastAsia="en-IN"/>
        </w:rPr>
        <w:t>portfolio management</w:t>
      </w:r>
    </w:p>
    <w:p w:rsidR="00E94B9B" w:rsidRPr="00E94B9B" w:rsidRDefault="00E94B9B" w:rsidP="00E94B9B">
      <w:pPr>
        <w:spacing w:after="0" w:line="240" w:lineRule="auto"/>
        <w:ind w:hanging="360"/>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t>
      </w:r>
      <w:r w:rsidRPr="00E94B9B">
        <w:rPr>
          <w:rFonts w:ascii="&quot;times new roman&quot;" w:eastAsia="Times New Roman" w:hAnsi="&quot;times new roman&quot;" w:cs="Arial"/>
          <w:sz w:val="14"/>
          <w:szCs w:val="14"/>
          <w:lang w:eastAsia="en-IN"/>
        </w:rPr>
        <w:t>       </w:t>
      </w:r>
      <w:r w:rsidRPr="00E94B9B">
        <w:rPr>
          <w:rFonts w:ascii="Arial" w:eastAsia="Times New Roman" w:hAnsi="Arial" w:cs="Arial"/>
          <w:sz w:val="24"/>
          <w:szCs w:val="24"/>
          <w:lang w:eastAsia="en-IN"/>
        </w:rPr>
        <w:t>advisory services</w:t>
      </w:r>
    </w:p>
    <w:p w:rsidR="00E94B9B" w:rsidRPr="00E94B9B" w:rsidRDefault="00E94B9B" w:rsidP="00E94B9B">
      <w:pPr>
        <w:numPr>
          <w:ilvl w:val="0"/>
          <w:numId w:val="10"/>
        </w:numPr>
        <w:spacing w:before="100" w:beforeAutospacing="1"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Write a note on later stage financing.</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this stage of VCF is needed by established business for additional financial support but cannot resort o public issues of capital</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different forms include:</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development financing</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expansion financing</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replacement finance</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acquisition/ buyout financing</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turnaround financing</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p>
    <w:p w:rsidR="00E94B9B" w:rsidRPr="00E94B9B" w:rsidRDefault="00E94B9B" w:rsidP="00E94B9B">
      <w:pPr>
        <w:numPr>
          <w:ilvl w:val="0"/>
          <w:numId w:val="11"/>
        </w:numPr>
        <w:spacing w:before="100" w:beforeAutospacing="1"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What are the pre issue management activities of a merchant banker?</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Lead Manager</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Appointment of agencies</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underwriting</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appointment of brokers</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assessing capabilities of other intermediaries</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appointment of bankers</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appointment of registrars</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selecting printers</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proofErr w:type="spellStart"/>
      <w:r w:rsidRPr="00E94B9B">
        <w:rPr>
          <w:rFonts w:ascii="Arial" w:eastAsia="Times New Roman" w:hAnsi="Arial" w:cs="Arial"/>
          <w:sz w:val="24"/>
          <w:szCs w:val="24"/>
          <w:lang w:eastAsia="en-IN"/>
        </w:rPr>
        <w:t>prosectus</w:t>
      </w:r>
      <w:proofErr w:type="spellEnd"/>
      <w:r w:rsidRPr="00E94B9B">
        <w:rPr>
          <w:rFonts w:ascii="Arial" w:eastAsia="Times New Roman" w:hAnsi="Arial" w:cs="Arial"/>
          <w:sz w:val="24"/>
          <w:szCs w:val="24"/>
          <w:lang w:eastAsia="en-IN"/>
        </w:rPr>
        <w:t xml:space="preserve"> formalities</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completing stock exchange formalities</w:t>
      </w:r>
    </w:p>
    <w:p w:rsidR="00E94B9B" w:rsidRPr="00E94B9B" w:rsidRDefault="00E94B9B" w:rsidP="00E94B9B">
      <w:pPr>
        <w:numPr>
          <w:ilvl w:val="0"/>
          <w:numId w:val="12"/>
        </w:numPr>
        <w:spacing w:before="100" w:beforeAutospacing="1"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 What is securitization and explain the securitization process?        </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b/>
          <w:bCs/>
          <w:color w:val="222222"/>
          <w:sz w:val="24"/>
          <w:szCs w:val="24"/>
          <w:shd w:val="clear" w:color="auto" w:fill="FFFFFF"/>
          <w:lang w:eastAsia="en-IN"/>
        </w:rPr>
        <w:t>Securitization</w:t>
      </w:r>
      <w:r w:rsidRPr="00E94B9B">
        <w:rPr>
          <w:rFonts w:ascii="Arial" w:eastAsia="Times New Roman" w:hAnsi="Arial" w:cs="Arial"/>
          <w:color w:val="222222"/>
          <w:sz w:val="24"/>
          <w:szCs w:val="24"/>
          <w:shd w:val="clear" w:color="auto" w:fill="FFFFFF"/>
          <w:lang w:eastAsia="en-IN"/>
        </w:rPr>
        <w:t> is the financial practice of pooling various types of contractual debt such as residential mortgages, commercial mortgages, auto loans or credit card debt obligations (or other non-debt assets which generate receivables) and selling their related cash flows to third party investors as </w:t>
      </w:r>
      <w:hyperlink r:id="rId5" w:history="1">
        <w:r w:rsidRPr="00E94B9B">
          <w:rPr>
            <w:rFonts w:ascii="Arial" w:eastAsia="Times New Roman" w:hAnsi="Arial" w:cs="Arial"/>
            <w:color w:val="0B0080"/>
            <w:sz w:val="24"/>
            <w:szCs w:val="24"/>
            <w:u w:val="single"/>
            <w:shd w:val="clear" w:color="auto" w:fill="FFFFFF"/>
            <w:lang w:eastAsia="en-IN"/>
          </w:rPr>
          <w:t>securities</w:t>
        </w:r>
      </w:hyperlink>
      <w:r w:rsidRPr="00E94B9B">
        <w:rPr>
          <w:rFonts w:ascii="Arial" w:eastAsia="Times New Roman" w:hAnsi="Arial" w:cs="Arial"/>
          <w:color w:val="222222"/>
          <w:sz w:val="24"/>
          <w:szCs w:val="24"/>
          <w:shd w:val="clear" w:color="auto" w:fill="FFFFFF"/>
          <w:lang w:eastAsia="en-IN"/>
        </w:rPr>
        <w:t>, which may be described as </w:t>
      </w:r>
      <w:hyperlink r:id="rId6" w:history="1">
        <w:r w:rsidRPr="00E94B9B">
          <w:rPr>
            <w:rFonts w:ascii="Arial" w:eastAsia="Times New Roman" w:hAnsi="Arial" w:cs="Arial"/>
            <w:color w:val="0B0080"/>
            <w:sz w:val="24"/>
            <w:szCs w:val="24"/>
            <w:u w:val="single"/>
            <w:shd w:val="clear" w:color="auto" w:fill="FFFFFF"/>
            <w:lang w:eastAsia="en-IN"/>
          </w:rPr>
          <w:t>bonds</w:t>
        </w:r>
      </w:hyperlink>
      <w:r w:rsidRPr="00E94B9B">
        <w:rPr>
          <w:rFonts w:ascii="Arial" w:eastAsia="Times New Roman" w:hAnsi="Arial" w:cs="Arial"/>
          <w:color w:val="222222"/>
          <w:sz w:val="24"/>
          <w:szCs w:val="24"/>
          <w:shd w:val="clear" w:color="auto" w:fill="FFFFFF"/>
          <w:lang w:eastAsia="en-IN"/>
        </w:rPr>
        <w:t>, pass-through securities, or </w:t>
      </w:r>
      <w:hyperlink r:id="rId7" w:history="1">
        <w:r w:rsidRPr="00E94B9B">
          <w:rPr>
            <w:rFonts w:ascii="Arial" w:eastAsia="Times New Roman" w:hAnsi="Arial" w:cs="Arial"/>
            <w:color w:val="0B0080"/>
            <w:sz w:val="24"/>
            <w:szCs w:val="24"/>
            <w:u w:val="single"/>
            <w:shd w:val="clear" w:color="auto" w:fill="FFFFFF"/>
            <w:lang w:eastAsia="en-IN"/>
          </w:rPr>
          <w:t>collateralized debt obligations</w:t>
        </w:r>
      </w:hyperlink>
      <w:r w:rsidRPr="00E94B9B">
        <w:rPr>
          <w:rFonts w:ascii="Arial" w:eastAsia="Times New Roman" w:hAnsi="Arial" w:cs="Arial"/>
          <w:color w:val="222222"/>
          <w:sz w:val="24"/>
          <w:szCs w:val="24"/>
          <w:shd w:val="clear" w:color="auto" w:fill="FFFFFF"/>
          <w:lang w:eastAsia="en-IN"/>
        </w:rPr>
        <w:t> (CDOs). Investors are repaid from the principal and interest cash flows collected from the underlying debt and redistributed through the capital structure of the new financing.</w:t>
      </w:r>
    </w:p>
    <w:p w:rsidR="00E94B9B" w:rsidRPr="00E94B9B" w:rsidRDefault="00E94B9B" w:rsidP="00E94B9B">
      <w:pPr>
        <w:shd w:val="clear" w:color="auto" w:fill="FFFFFF"/>
        <w:spacing w:line="360"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424142"/>
          <w:sz w:val="24"/>
          <w:szCs w:val="24"/>
          <w:lang w:eastAsia="en-IN"/>
        </w:rPr>
        <w:t>(a) A company that wants to mobilize finance through securitization begins by identifying assets that can be used to raise funds.</w:t>
      </w:r>
    </w:p>
    <w:p w:rsidR="00E94B9B" w:rsidRPr="00E94B9B" w:rsidRDefault="00E94B9B" w:rsidP="00E94B9B">
      <w:pPr>
        <w:shd w:val="clear" w:color="auto" w:fill="FFFFFF"/>
        <w:spacing w:line="360"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424142"/>
          <w:sz w:val="24"/>
          <w:szCs w:val="24"/>
          <w:lang w:eastAsia="en-IN"/>
        </w:rPr>
        <w:t>(b) These assets typically represent rights to payment at future dates and are usually referred to as ‘receivables’.</w:t>
      </w:r>
    </w:p>
    <w:p w:rsidR="00E94B9B" w:rsidRPr="00E94B9B" w:rsidRDefault="00E94B9B" w:rsidP="00E94B9B">
      <w:pPr>
        <w:shd w:val="clear" w:color="auto" w:fill="FFFFFF"/>
        <w:spacing w:line="360"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424142"/>
          <w:sz w:val="24"/>
          <w:szCs w:val="24"/>
          <w:lang w:eastAsia="en-IN"/>
        </w:rPr>
        <w:t>(c) The company that owns the receivables is usually called the ‘originator’.</w:t>
      </w:r>
    </w:p>
    <w:p w:rsidR="00E94B9B" w:rsidRPr="00E94B9B" w:rsidRDefault="00E94B9B" w:rsidP="00E94B9B">
      <w:pPr>
        <w:shd w:val="clear" w:color="auto" w:fill="FFFFFF"/>
        <w:spacing w:line="360"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424142"/>
          <w:sz w:val="24"/>
          <w:szCs w:val="24"/>
          <w:lang w:eastAsia="en-IN"/>
        </w:rPr>
        <w:lastRenderedPageBreak/>
        <w:t>(d) The originator identifies the assets out of its portfolio for Securitization.</w:t>
      </w:r>
    </w:p>
    <w:p w:rsidR="00E94B9B" w:rsidRPr="00E94B9B" w:rsidRDefault="00E94B9B" w:rsidP="00E94B9B">
      <w:pPr>
        <w:shd w:val="clear" w:color="auto" w:fill="FFFFFF"/>
        <w:spacing w:line="360"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424142"/>
          <w:sz w:val="24"/>
          <w:szCs w:val="24"/>
          <w:lang w:eastAsia="en-IN"/>
        </w:rPr>
        <w:t>(e) The identification of assets will have to be done in a manner so that an optimum mix of homogeneous assets having almost same maturity forms the portfolio.</w:t>
      </w:r>
    </w:p>
    <w:p w:rsidR="00E94B9B" w:rsidRPr="00E94B9B" w:rsidRDefault="00E94B9B" w:rsidP="00E94B9B">
      <w:pPr>
        <w:shd w:val="clear" w:color="auto" w:fill="FFFFFF"/>
        <w:spacing w:line="360"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424142"/>
          <w:sz w:val="24"/>
          <w:szCs w:val="24"/>
          <w:lang w:eastAsia="en-IN"/>
        </w:rPr>
        <w:t>(f) Assets originated through trade receivables, lease rentals, housing loans, automobile loans, etc. according to their maturity pattern and interest rate risk are formed into a pool.</w:t>
      </w:r>
    </w:p>
    <w:p w:rsidR="00E94B9B" w:rsidRPr="00E94B9B" w:rsidRDefault="00E94B9B" w:rsidP="00E94B9B">
      <w:pPr>
        <w:shd w:val="clear" w:color="auto" w:fill="FFFFFF"/>
        <w:spacing w:line="360"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424142"/>
          <w:sz w:val="24"/>
          <w:szCs w:val="24"/>
          <w:lang w:eastAsia="en-IN"/>
        </w:rPr>
        <w:t>ADVERTISEMENTS:</w:t>
      </w:r>
    </w:p>
    <w:p w:rsidR="00E94B9B" w:rsidRPr="00E94B9B" w:rsidRDefault="00E94B9B" w:rsidP="00E94B9B">
      <w:pPr>
        <w:shd w:val="clear" w:color="auto" w:fill="FFFFFF"/>
        <w:spacing w:line="360"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424142"/>
          <w:sz w:val="24"/>
          <w:szCs w:val="24"/>
          <w:lang w:eastAsia="en-IN"/>
        </w:rPr>
        <w:t>(g) The aforementioned identified and pooled assets are then transferred to a newly formed another institution called a ‘special purpose vehicle’ usually by way of a trust.</w:t>
      </w:r>
    </w:p>
    <w:p w:rsidR="00E94B9B" w:rsidRPr="00E94B9B" w:rsidRDefault="00E94B9B" w:rsidP="00E94B9B">
      <w:pPr>
        <w:shd w:val="clear" w:color="auto" w:fill="FFFFFF"/>
        <w:spacing w:line="360"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424142"/>
          <w:sz w:val="24"/>
          <w:szCs w:val="24"/>
          <w:lang w:eastAsia="en-IN"/>
        </w:rPr>
        <w:t>(h) Such trust usually, an investment banker, issues the securities to an investor.</w:t>
      </w:r>
    </w:p>
    <w:p w:rsidR="00E94B9B" w:rsidRPr="00E94B9B" w:rsidRDefault="00E94B9B" w:rsidP="00E94B9B">
      <w:pPr>
        <w:shd w:val="clear" w:color="auto" w:fill="FFFFFF"/>
        <w:spacing w:line="360"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424142"/>
          <w:sz w:val="24"/>
          <w:szCs w:val="24"/>
          <w:lang w:eastAsia="en-IN"/>
        </w:rPr>
        <w:t>(</w:t>
      </w:r>
      <w:proofErr w:type="spellStart"/>
      <w:r w:rsidRPr="00E94B9B">
        <w:rPr>
          <w:rFonts w:ascii="Arial" w:eastAsia="Times New Roman" w:hAnsi="Arial" w:cs="Arial"/>
          <w:color w:val="424142"/>
          <w:sz w:val="24"/>
          <w:szCs w:val="24"/>
          <w:lang w:eastAsia="en-IN"/>
        </w:rPr>
        <w:t>i</w:t>
      </w:r>
      <w:proofErr w:type="spellEnd"/>
      <w:r w:rsidRPr="00E94B9B">
        <w:rPr>
          <w:rFonts w:ascii="Arial" w:eastAsia="Times New Roman" w:hAnsi="Arial" w:cs="Arial"/>
          <w:color w:val="424142"/>
          <w:sz w:val="24"/>
          <w:szCs w:val="24"/>
          <w:lang w:eastAsia="en-IN"/>
        </w:rPr>
        <w:t>) Once the assets are transferred, they are no longer held in the originator’s portfolio.</w:t>
      </w:r>
    </w:p>
    <w:p w:rsidR="00E94B9B" w:rsidRPr="00E94B9B" w:rsidRDefault="00E94B9B" w:rsidP="00E94B9B">
      <w:pPr>
        <w:shd w:val="clear" w:color="auto" w:fill="FFFFFF"/>
        <w:spacing w:line="360"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424142"/>
          <w:sz w:val="24"/>
          <w:szCs w:val="24"/>
          <w:lang w:eastAsia="en-IN"/>
        </w:rPr>
        <w:t>(j) After acquisition of the assets from originator, the SPV splits the pool into individual shares or securities and reimburse itself by selling these to investors.</w:t>
      </w:r>
    </w:p>
    <w:p w:rsidR="00E94B9B" w:rsidRPr="00E94B9B" w:rsidRDefault="00E94B9B" w:rsidP="00E94B9B">
      <w:pPr>
        <w:shd w:val="clear" w:color="auto" w:fill="FFFFFF"/>
        <w:spacing w:line="360"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424142"/>
          <w:sz w:val="24"/>
          <w:szCs w:val="24"/>
          <w:lang w:eastAsia="en-IN"/>
        </w:rPr>
        <w:t>(k) The securities, so issued, are known as ‘pay or pass through certificates’.</w:t>
      </w:r>
    </w:p>
    <w:p w:rsidR="00E94B9B" w:rsidRPr="00E94B9B" w:rsidRDefault="00E94B9B" w:rsidP="00E94B9B">
      <w:pPr>
        <w:shd w:val="clear" w:color="auto" w:fill="FFFFFF"/>
        <w:spacing w:line="360"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424142"/>
          <w:sz w:val="24"/>
          <w:szCs w:val="24"/>
          <w:lang w:eastAsia="en-IN"/>
        </w:rPr>
        <w:t>(l) The securities are normally without recourse to the originator, thus investor can hold only SPV for the principal repayment and interest recovery.</w:t>
      </w:r>
    </w:p>
    <w:p w:rsidR="00E94B9B" w:rsidRPr="00E94B9B" w:rsidRDefault="00E94B9B" w:rsidP="00E94B9B">
      <w:pPr>
        <w:shd w:val="clear" w:color="auto" w:fill="FFFFFF"/>
        <w:spacing w:line="360"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424142"/>
          <w:sz w:val="24"/>
          <w:szCs w:val="24"/>
          <w:lang w:eastAsia="en-IN"/>
        </w:rPr>
        <w:t>(m) In order to make the issue attractive, the SPV enters into credit enhancement procedures either by obtaining an insurance policy to cover the credit losses or by arranging a credit facility from a third party lender to cover the delayed payments.</w:t>
      </w:r>
    </w:p>
    <w:p w:rsidR="00E94B9B" w:rsidRPr="00E94B9B" w:rsidRDefault="00E94B9B" w:rsidP="00E94B9B">
      <w:pPr>
        <w:shd w:val="clear" w:color="auto" w:fill="FFFFFF"/>
        <w:spacing w:line="360"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424142"/>
          <w:sz w:val="24"/>
          <w:szCs w:val="24"/>
          <w:lang w:eastAsia="en-IN"/>
        </w:rPr>
        <w:t>(n) To increase marketability of the securitized assets in the form of securities, these may be rated by some reputed credit rating agencies.</w:t>
      </w:r>
    </w:p>
    <w:p w:rsidR="00E94B9B" w:rsidRPr="00E94B9B" w:rsidRDefault="00E94B9B" w:rsidP="00E94B9B">
      <w:pPr>
        <w:shd w:val="clear" w:color="auto" w:fill="FFFFFF"/>
        <w:spacing w:line="360"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424142"/>
          <w:sz w:val="24"/>
          <w:szCs w:val="24"/>
          <w:lang w:eastAsia="en-IN"/>
        </w:rPr>
        <w:t>(o) Credit rating increases the trading potentials of the certificate, thus its liquidity is enhanced.</w:t>
      </w:r>
    </w:p>
    <w:p w:rsidR="00E94B9B" w:rsidRPr="00E94B9B" w:rsidRDefault="00E94B9B" w:rsidP="00E94B9B">
      <w:pPr>
        <w:shd w:val="clear" w:color="auto" w:fill="FFFFFF"/>
        <w:spacing w:line="360"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424142"/>
          <w:sz w:val="24"/>
          <w:szCs w:val="24"/>
          <w:lang w:eastAsia="en-IN"/>
        </w:rPr>
        <w:t>(p) A merchant banker or syndicate of merchant bankers will be appointed for underwriting the whole issue.</w:t>
      </w:r>
    </w:p>
    <w:p w:rsidR="00E94B9B" w:rsidRPr="00E94B9B" w:rsidRDefault="00E94B9B" w:rsidP="00E94B9B">
      <w:pPr>
        <w:shd w:val="clear" w:color="auto" w:fill="FFFFFF"/>
        <w:spacing w:line="360"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424142"/>
          <w:sz w:val="24"/>
          <w:szCs w:val="24"/>
          <w:lang w:eastAsia="en-IN"/>
        </w:rPr>
        <w:t>(q) The securities have to be sold to the investors either by a public issue or by private placement.</w:t>
      </w:r>
    </w:p>
    <w:p w:rsidR="00E94B9B" w:rsidRPr="00E94B9B" w:rsidRDefault="00E94B9B" w:rsidP="00E94B9B">
      <w:pPr>
        <w:shd w:val="clear" w:color="auto" w:fill="FFFFFF"/>
        <w:spacing w:line="360"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424142"/>
          <w:sz w:val="24"/>
          <w:szCs w:val="24"/>
          <w:lang w:eastAsia="en-IN"/>
        </w:rPr>
        <w:t>(r) The pass through certificates before maturity are tradable in a secondary market to ensure liquidity for the investors.</w:t>
      </w:r>
    </w:p>
    <w:p w:rsidR="00E94B9B" w:rsidRPr="00E94B9B" w:rsidRDefault="00E94B9B" w:rsidP="00E94B9B">
      <w:pPr>
        <w:shd w:val="clear" w:color="auto" w:fill="FFFFFF"/>
        <w:spacing w:line="360"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424142"/>
          <w:sz w:val="24"/>
          <w:szCs w:val="24"/>
          <w:lang w:eastAsia="en-IN"/>
        </w:rPr>
        <w:lastRenderedPageBreak/>
        <w:t>(s) Once the end investor gets hold of these instruments created out of Securitization, he is to hold it for a specific maturity period which is well defined with all other related terms and conditions.</w:t>
      </w:r>
    </w:p>
    <w:p w:rsidR="00E94B9B" w:rsidRPr="00E94B9B" w:rsidRDefault="00E94B9B" w:rsidP="00E94B9B">
      <w:pPr>
        <w:shd w:val="clear" w:color="auto" w:fill="FFFFFF"/>
        <w:spacing w:line="360" w:lineRule="atLeast"/>
        <w:jc w:val="both"/>
        <w:rPr>
          <w:rFonts w:ascii="Times New Roman" w:eastAsia="Times New Roman" w:hAnsi="Times New Roman" w:cs="Times New Roman"/>
          <w:sz w:val="24"/>
          <w:szCs w:val="24"/>
          <w:lang w:eastAsia="en-IN"/>
        </w:rPr>
      </w:pPr>
      <w:r w:rsidRPr="00E94B9B">
        <w:rPr>
          <w:rFonts w:ascii="Arial" w:eastAsia="Times New Roman" w:hAnsi="Arial" w:cs="Arial"/>
          <w:color w:val="424142"/>
          <w:sz w:val="24"/>
          <w:szCs w:val="24"/>
          <w:lang w:eastAsia="en-IN"/>
        </w:rPr>
        <w:t>(t) On maturity, at the end, investors get redemption amount from the issuer along with interest due on the amount.</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                                                                                                            </w:t>
      </w:r>
      <w:r w:rsidRPr="00E94B9B">
        <w:rPr>
          <w:rFonts w:ascii="Arial" w:eastAsia="Times New Roman" w:hAnsi="Arial" w:cs="Arial"/>
          <w:b/>
          <w:bCs/>
          <w:sz w:val="24"/>
          <w:szCs w:val="24"/>
          <w:lang w:eastAsia="en-IN"/>
        </w:rPr>
        <w:t>(5 X 5 = 25 marks)</w:t>
      </w:r>
    </w:p>
    <w:p w:rsidR="00E94B9B" w:rsidRPr="00E94B9B" w:rsidRDefault="00E94B9B" w:rsidP="00E94B9B">
      <w:pPr>
        <w:spacing w:after="0" w:line="240" w:lineRule="auto"/>
        <w:ind w:hanging="720"/>
        <w:jc w:val="center"/>
        <w:rPr>
          <w:rFonts w:ascii="Times New Roman" w:eastAsia="Times New Roman" w:hAnsi="Times New Roman" w:cs="Times New Roman"/>
          <w:sz w:val="24"/>
          <w:szCs w:val="24"/>
          <w:lang w:eastAsia="en-IN"/>
        </w:rPr>
      </w:pPr>
      <w:r w:rsidRPr="00E94B9B">
        <w:rPr>
          <w:rFonts w:ascii="Arial" w:eastAsia="Times New Roman" w:hAnsi="Arial" w:cs="Arial"/>
          <w:b/>
          <w:bCs/>
          <w:sz w:val="24"/>
          <w:szCs w:val="24"/>
          <w:lang w:eastAsia="en-IN"/>
        </w:rPr>
        <w:t>Section C</w:t>
      </w:r>
    </w:p>
    <w:p w:rsidR="00E94B9B" w:rsidRPr="00E94B9B" w:rsidRDefault="00E94B9B" w:rsidP="00E94B9B">
      <w:pPr>
        <w:spacing w:after="0" w:line="240" w:lineRule="auto"/>
        <w:ind w:hanging="720"/>
        <w:jc w:val="center"/>
        <w:rPr>
          <w:rFonts w:ascii="Times New Roman" w:eastAsia="Times New Roman" w:hAnsi="Times New Roman" w:cs="Times New Roman"/>
          <w:sz w:val="24"/>
          <w:szCs w:val="24"/>
          <w:lang w:eastAsia="en-IN"/>
        </w:rPr>
      </w:pPr>
      <w:r w:rsidRPr="00E94B9B">
        <w:rPr>
          <w:rFonts w:ascii="Arial" w:eastAsia="Times New Roman" w:hAnsi="Arial" w:cs="Arial"/>
          <w:i/>
          <w:iCs/>
          <w:sz w:val="24"/>
          <w:szCs w:val="24"/>
          <w:lang w:eastAsia="en-IN"/>
        </w:rPr>
        <w:t>Answer any 1 question. It carries 15marks.</w:t>
      </w:r>
    </w:p>
    <w:p w:rsidR="00E94B9B" w:rsidRPr="00E94B9B" w:rsidRDefault="00E94B9B" w:rsidP="00E94B9B">
      <w:pPr>
        <w:numPr>
          <w:ilvl w:val="0"/>
          <w:numId w:val="13"/>
        </w:numPr>
        <w:spacing w:before="100" w:beforeAutospacing="1"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Explain the nature and functions of financial services</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 xml:space="preserve">Nature of financial </w:t>
      </w:r>
      <w:proofErr w:type="gramStart"/>
      <w:r w:rsidRPr="00E94B9B">
        <w:rPr>
          <w:rFonts w:ascii="Arial" w:eastAsia="Times New Roman" w:hAnsi="Arial" w:cs="Arial"/>
          <w:sz w:val="24"/>
          <w:szCs w:val="24"/>
          <w:lang w:eastAsia="en-IN"/>
        </w:rPr>
        <w:t>services  :</w:t>
      </w:r>
      <w:proofErr w:type="gramEnd"/>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 intangible</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direct sale,</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tailor made</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customer orientation</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wide range of products,</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geographical dispersion</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skilled employees</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Functions of financial services are as follows</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Instrumental for growth and development</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financial intermediation</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management of risk</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issue management</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Asset financing</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Asset management</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stock broking</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Advisory services</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p>
    <w:p w:rsidR="00E94B9B" w:rsidRPr="00E94B9B" w:rsidRDefault="00E94B9B" w:rsidP="00E94B9B">
      <w:pPr>
        <w:numPr>
          <w:ilvl w:val="0"/>
          <w:numId w:val="14"/>
        </w:numPr>
        <w:spacing w:before="100" w:beforeAutospacing="1"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 Explain the various fee based and fund based financial services</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fund based services include the following</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Leasing</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hire purchase</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discounting of bills</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venture capital financing</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factoring</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Fee based services include</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Merchant banking</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Stock broking</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credit rating</w:t>
      </w:r>
    </w:p>
    <w:p w:rsidR="00E94B9B" w:rsidRPr="00E94B9B" w:rsidRDefault="00E94B9B" w:rsidP="00E94B9B">
      <w:pPr>
        <w:spacing w:after="0" w:line="240" w:lineRule="auto"/>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loan syndication</w:t>
      </w:r>
    </w:p>
    <w:p w:rsidR="00E94B9B" w:rsidRPr="00E94B9B" w:rsidRDefault="00E94B9B" w:rsidP="00E94B9B">
      <w:pPr>
        <w:spacing w:after="0" w:line="240" w:lineRule="auto"/>
        <w:rPr>
          <w:rFonts w:ascii="Times New Roman" w:eastAsia="Times New Roman" w:hAnsi="Times New Roman" w:cs="Times New Roman"/>
          <w:sz w:val="24"/>
          <w:szCs w:val="24"/>
          <w:lang w:eastAsia="en-IN"/>
        </w:rPr>
      </w:pPr>
    </w:p>
    <w:p w:rsidR="00E94B9B" w:rsidRPr="00E94B9B" w:rsidRDefault="00E94B9B" w:rsidP="00E94B9B">
      <w:pPr>
        <w:spacing w:after="0" w:line="240" w:lineRule="auto"/>
        <w:ind w:hanging="720"/>
        <w:jc w:val="both"/>
        <w:rPr>
          <w:rFonts w:ascii="Times New Roman" w:eastAsia="Times New Roman" w:hAnsi="Times New Roman" w:cs="Times New Roman"/>
          <w:sz w:val="24"/>
          <w:szCs w:val="24"/>
          <w:lang w:eastAsia="en-IN"/>
        </w:rPr>
      </w:pPr>
      <w:r w:rsidRPr="00E94B9B">
        <w:rPr>
          <w:rFonts w:ascii="Arial" w:eastAsia="Times New Roman" w:hAnsi="Arial" w:cs="Arial"/>
          <w:sz w:val="24"/>
          <w:szCs w:val="24"/>
          <w:lang w:eastAsia="en-IN"/>
        </w:rPr>
        <w:t>                                                                                                                                                                                                                                                                                                                                                                        </w:t>
      </w:r>
      <w:r w:rsidRPr="00E94B9B">
        <w:rPr>
          <w:rFonts w:ascii="Arial" w:eastAsia="Times New Roman" w:hAnsi="Arial" w:cs="Arial"/>
          <w:b/>
          <w:bCs/>
          <w:sz w:val="24"/>
          <w:szCs w:val="24"/>
          <w:lang w:eastAsia="en-IN"/>
        </w:rPr>
        <w:t>(1 X 15 = 15 marks)</w:t>
      </w:r>
    </w:p>
    <w:p w:rsidR="00E26068" w:rsidRDefault="00E26068"/>
    <w:sectPr w:rsidR="00E260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quot;times new roman&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57E"/>
    <w:multiLevelType w:val="multilevel"/>
    <w:tmpl w:val="1EEA5D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A3DD1"/>
    <w:multiLevelType w:val="multilevel"/>
    <w:tmpl w:val="7A2C91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11BDF"/>
    <w:multiLevelType w:val="multilevel"/>
    <w:tmpl w:val="C3A647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C4EB0"/>
    <w:multiLevelType w:val="multilevel"/>
    <w:tmpl w:val="1CD0A8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5F21EA"/>
    <w:multiLevelType w:val="multilevel"/>
    <w:tmpl w:val="7DC806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14039A"/>
    <w:multiLevelType w:val="multilevel"/>
    <w:tmpl w:val="CDACF7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DD22DA"/>
    <w:multiLevelType w:val="multilevel"/>
    <w:tmpl w:val="69CC48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DE7A7E"/>
    <w:multiLevelType w:val="multilevel"/>
    <w:tmpl w:val="0F745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600482"/>
    <w:multiLevelType w:val="multilevel"/>
    <w:tmpl w:val="39EEAE9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EE1B6B"/>
    <w:multiLevelType w:val="multilevel"/>
    <w:tmpl w:val="F9DCFC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7C6BEB"/>
    <w:multiLevelType w:val="multilevel"/>
    <w:tmpl w:val="DD689D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934530"/>
    <w:multiLevelType w:val="multilevel"/>
    <w:tmpl w:val="0FA47A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145ACA"/>
    <w:multiLevelType w:val="multilevel"/>
    <w:tmpl w:val="60727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733927"/>
    <w:multiLevelType w:val="multilevel"/>
    <w:tmpl w:val="BCEAF5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5"/>
  </w:num>
  <w:num w:numId="4">
    <w:abstractNumId w:val="3"/>
  </w:num>
  <w:num w:numId="5">
    <w:abstractNumId w:val="4"/>
  </w:num>
  <w:num w:numId="6">
    <w:abstractNumId w:val="2"/>
  </w:num>
  <w:num w:numId="7">
    <w:abstractNumId w:val="10"/>
  </w:num>
  <w:num w:numId="8">
    <w:abstractNumId w:val="0"/>
  </w:num>
  <w:num w:numId="9">
    <w:abstractNumId w:val="11"/>
  </w:num>
  <w:num w:numId="10">
    <w:abstractNumId w:val="1"/>
  </w:num>
  <w:num w:numId="11">
    <w:abstractNumId w:val="6"/>
  </w:num>
  <w:num w:numId="12">
    <w:abstractNumId w:val="9"/>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DC"/>
    <w:rsid w:val="00B750DC"/>
    <w:rsid w:val="00E26068"/>
    <w:rsid w:val="00E94B9B"/>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16D77-D8E7-40E9-AFE5-61455275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B9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94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4755">
      <w:bodyDiv w:val="1"/>
      <w:marLeft w:val="0"/>
      <w:marRight w:val="0"/>
      <w:marTop w:val="0"/>
      <w:marBottom w:val="0"/>
      <w:divBdr>
        <w:top w:val="none" w:sz="0" w:space="0" w:color="auto"/>
        <w:left w:val="none" w:sz="0" w:space="0" w:color="auto"/>
        <w:bottom w:val="none" w:sz="0" w:space="0" w:color="auto"/>
        <w:right w:val="none" w:sz="0" w:space="0" w:color="auto"/>
      </w:divBdr>
      <w:divsChild>
        <w:div w:id="1837265802">
          <w:marLeft w:val="0"/>
          <w:marRight w:val="0"/>
          <w:marTop w:val="240"/>
          <w:marBottom w:val="0"/>
          <w:divBdr>
            <w:top w:val="none" w:sz="0" w:space="0" w:color="auto"/>
            <w:left w:val="none" w:sz="0" w:space="0" w:color="auto"/>
            <w:bottom w:val="none" w:sz="0" w:space="0" w:color="auto"/>
            <w:right w:val="none" w:sz="0" w:space="0" w:color="auto"/>
          </w:divBdr>
        </w:div>
        <w:div w:id="558707525">
          <w:marLeft w:val="0"/>
          <w:marRight w:val="0"/>
          <w:marTop w:val="240"/>
          <w:marBottom w:val="0"/>
          <w:divBdr>
            <w:top w:val="none" w:sz="0" w:space="0" w:color="auto"/>
            <w:left w:val="none" w:sz="0" w:space="0" w:color="auto"/>
            <w:bottom w:val="none" w:sz="0" w:space="0" w:color="auto"/>
            <w:right w:val="none" w:sz="0" w:space="0" w:color="auto"/>
          </w:divBdr>
        </w:div>
        <w:div w:id="2048525398">
          <w:marLeft w:val="0"/>
          <w:marRight w:val="0"/>
          <w:marTop w:val="240"/>
          <w:marBottom w:val="0"/>
          <w:divBdr>
            <w:top w:val="none" w:sz="0" w:space="0" w:color="auto"/>
            <w:left w:val="none" w:sz="0" w:space="0" w:color="auto"/>
            <w:bottom w:val="none" w:sz="0" w:space="0" w:color="auto"/>
            <w:right w:val="none" w:sz="0" w:space="0" w:color="auto"/>
          </w:divBdr>
        </w:div>
        <w:div w:id="1302731816">
          <w:marLeft w:val="0"/>
          <w:marRight w:val="0"/>
          <w:marTop w:val="240"/>
          <w:marBottom w:val="240"/>
          <w:divBdr>
            <w:top w:val="none" w:sz="0" w:space="0" w:color="auto"/>
            <w:left w:val="none" w:sz="0" w:space="0" w:color="auto"/>
            <w:bottom w:val="none" w:sz="0" w:space="0" w:color="auto"/>
            <w:right w:val="none" w:sz="0" w:space="0" w:color="auto"/>
          </w:divBdr>
        </w:div>
        <w:div w:id="932010963">
          <w:marLeft w:val="0"/>
          <w:marRight w:val="0"/>
          <w:marTop w:val="240"/>
          <w:marBottom w:val="240"/>
          <w:divBdr>
            <w:top w:val="none" w:sz="0" w:space="0" w:color="auto"/>
            <w:left w:val="none" w:sz="0" w:space="0" w:color="auto"/>
            <w:bottom w:val="none" w:sz="0" w:space="0" w:color="auto"/>
            <w:right w:val="none" w:sz="0" w:space="0" w:color="auto"/>
          </w:divBdr>
        </w:div>
        <w:div w:id="594286606">
          <w:marLeft w:val="720"/>
          <w:marRight w:val="0"/>
          <w:marTop w:val="0"/>
          <w:marBottom w:val="0"/>
          <w:divBdr>
            <w:top w:val="none" w:sz="0" w:space="0" w:color="auto"/>
            <w:left w:val="none" w:sz="0" w:space="0" w:color="auto"/>
            <w:bottom w:val="none" w:sz="0" w:space="0" w:color="auto"/>
            <w:right w:val="none" w:sz="0" w:space="0" w:color="auto"/>
          </w:divBdr>
        </w:div>
        <w:div w:id="650907290">
          <w:marLeft w:val="720"/>
          <w:marRight w:val="0"/>
          <w:marTop w:val="0"/>
          <w:marBottom w:val="0"/>
          <w:divBdr>
            <w:top w:val="none" w:sz="0" w:space="0" w:color="auto"/>
            <w:left w:val="none" w:sz="0" w:space="0" w:color="auto"/>
            <w:bottom w:val="none" w:sz="0" w:space="0" w:color="auto"/>
            <w:right w:val="none" w:sz="0" w:space="0" w:color="auto"/>
          </w:divBdr>
        </w:div>
        <w:div w:id="1294752495">
          <w:marLeft w:val="720"/>
          <w:marRight w:val="0"/>
          <w:marTop w:val="0"/>
          <w:marBottom w:val="0"/>
          <w:divBdr>
            <w:top w:val="none" w:sz="0" w:space="0" w:color="auto"/>
            <w:left w:val="none" w:sz="0" w:space="0" w:color="auto"/>
            <w:bottom w:val="none" w:sz="0" w:space="0" w:color="auto"/>
            <w:right w:val="none" w:sz="0" w:space="0" w:color="auto"/>
          </w:divBdr>
        </w:div>
        <w:div w:id="2102487969">
          <w:marLeft w:val="720"/>
          <w:marRight w:val="0"/>
          <w:marTop w:val="0"/>
          <w:marBottom w:val="0"/>
          <w:divBdr>
            <w:top w:val="none" w:sz="0" w:space="0" w:color="auto"/>
            <w:left w:val="none" w:sz="0" w:space="0" w:color="auto"/>
            <w:bottom w:val="none" w:sz="0" w:space="0" w:color="auto"/>
            <w:right w:val="none" w:sz="0" w:space="0" w:color="auto"/>
          </w:divBdr>
        </w:div>
        <w:div w:id="1912083922">
          <w:marLeft w:val="720"/>
          <w:marRight w:val="0"/>
          <w:marTop w:val="0"/>
          <w:marBottom w:val="0"/>
          <w:divBdr>
            <w:top w:val="none" w:sz="0" w:space="0" w:color="auto"/>
            <w:left w:val="none" w:sz="0" w:space="0" w:color="auto"/>
            <w:bottom w:val="none" w:sz="0" w:space="0" w:color="auto"/>
            <w:right w:val="none" w:sz="0" w:space="0" w:color="auto"/>
          </w:divBdr>
        </w:div>
        <w:div w:id="1587572786">
          <w:marLeft w:val="720"/>
          <w:marRight w:val="0"/>
          <w:marTop w:val="0"/>
          <w:marBottom w:val="0"/>
          <w:divBdr>
            <w:top w:val="none" w:sz="0" w:space="0" w:color="auto"/>
            <w:left w:val="none" w:sz="0" w:space="0" w:color="auto"/>
            <w:bottom w:val="none" w:sz="0" w:space="0" w:color="auto"/>
            <w:right w:val="none" w:sz="0" w:space="0" w:color="auto"/>
          </w:divBdr>
        </w:div>
        <w:div w:id="1306088976">
          <w:marLeft w:val="0"/>
          <w:marRight w:val="0"/>
          <w:marTop w:val="0"/>
          <w:marBottom w:val="0"/>
          <w:divBdr>
            <w:top w:val="none" w:sz="0" w:space="0" w:color="auto"/>
            <w:left w:val="none" w:sz="0" w:space="0" w:color="auto"/>
            <w:bottom w:val="none" w:sz="0" w:space="0" w:color="auto"/>
            <w:right w:val="none" w:sz="0" w:space="0" w:color="auto"/>
          </w:divBdr>
        </w:div>
        <w:div w:id="1106266508">
          <w:marLeft w:val="0"/>
          <w:marRight w:val="0"/>
          <w:marTop w:val="0"/>
          <w:marBottom w:val="0"/>
          <w:divBdr>
            <w:top w:val="none" w:sz="0" w:space="0" w:color="auto"/>
            <w:left w:val="none" w:sz="0" w:space="0" w:color="auto"/>
            <w:bottom w:val="none" w:sz="0" w:space="0" w:color="auto"/>
            <w:right w:val="none" w:sz="0" w:space="0" w:color="auto"/>
          </w:divBdr>
        </w:div>
        <w:div w:id="738404220">
          <w:marLeft w:val="720"/>
          <w:marRight w:val="0"/>
          <w:marTop w:val="0"/>
          <w:marBottom w:val="0"/>
          <w:divBdr>
            <w:top w:val="none" w:sz="0" w:space="0" w:color="auto"/>
            <w:left w:val="none" w:sz="0" w:space="0" w:color="auto"/>
            <w:bottom w:val="none" w:sz="0" w:space="0" w:color="auto"/>
            <w:right w:val="none" w:sz="0" w:space="0" w:color="auto"/>
          </w:divBdr>
        </w:div>
        <w:div w:id="295915369">
          <w:marLeft w:val="720"/>
          <w:marRight w:val="0"/>
          <w:marTop w:val="0"/>
          <w:marBottom w:val="0"/>
          <w:divBdr>
            <w:top w:val="none" w:sz="0" w:space="0" w:color="auto"/>
            <w:left w:val="none" w:sz="0" w:space="0" w:color="auto"/>
            <w:bottom w:val="none" w:sz="0" w:space="0" w:color="auto"/>
            <w:right w:val="none" w:sz="0" w:space="0" w:color="auto"/>
          </w:divBdr>
        </w:div>
        <w:div w:id="11958102">
          <w:marLeft w:val="720"/>
          <w:marRight w:val="0"/>
          <w:marTop w:val="0"/>
          <w:marBottom w:val="220"/>
          <w:divBdr>
            <w:top w:val="none" w:sz="0" w:space="0" w:color="auto"/>
            <w:left w:val="none" w:sz="0" w:space="0" w:color="auto"/>
            <w:bottom w:val="none" w:sz="0" w:space="0" w:color="auto"/>
            <w:right w:val="none" w:sz="0" w:space="0" w:color="auto"/>
          </w:divBdr>
        </w:div>
        <w:div w:id="1014068649">
          <w:marLeft w:val="720"/>
          <w:marRight w:val="0"/>
          <w:marTop w:val="0"/>
          <w:marBottom w:val="220"/>
          <w:divBdr>
            <w:top w:val="none" w:sz="0" w:space="0" w:color="auto"/>
            <w:left w:val="none" w:sz="0" w:space="0" w:color="auto"/>
            <w:bottom w:val="none" w:sz="0" w:space="0" w:color="auto"/>
            <w:right w:val="none" w:sz="0" w:space="0" w:color="auto"/>
          </w:divBdr>
        </w:div>
        <w:div w:id="99424220">
          <w:marLeft w:val="720"/>
          <w:marRight w:val="0"/>
          <w:marTop w:val="0"/>
          <w:marBottom w:val="220"/>
          <w:divBdr>
            <w:top w:val="none" w:sz="0" w:space="0" w:color="auto"/>
            <w:left w:val="none" w:sz="0" w:space="0" w:color="auto"/>
            <w:bottom w:val="none" w:sz="0" w:space="0" w:color="auto"/>
            <w:right w:val="none" w:sz="0" w:space="0" w:color="auto"/>
          </w:divBdr>
        </w:div>
        <w:div w:id="1908149487">
          <w:marLeft w:val="720"/>
          <w:marRight w:val="0"/>
          <w:marTop w:val="0"/>
          <w:marBottom w:val="220"/>
          <w:divBdr>
            <w:top w:val="none" w:sz="0" w:space="0" w:color="auto"/>
            <w:left w:val="none" w:sz="0" w:space="0" w:color="auto"/>
            <w:bottom w:val="none" w:sz="0" w:space="0" w:color="auto"/>
            <w:right w:val="none" w:sz="0" w:space="0" w:color="auto"/>
          </w:divBdr>
        </w:div>
        <w:div w:id="1243488789">
          <w:marLeft w:val="720"/>
          <w:marRight w:val="0"/>
          <w:marTop w:val="0"/>
          <w:marBottom w:val="220"/>
          <w:divBdr>
            <w:top w:val="none" w:sz="0" w:space="0" w:color="auto"/>
            <w:left w:val="none" w:sz="0" w:space="0" w:color="auto"/>
            <w:bottom w:val="none" w:sz="0" w:space="0" w:color="auto"/>
            <w:right w:val="none" w:sz="0" w:space="0" w:color="auto"/>
          </w:divBdr>
        </w:div>
        <w:div w:id="399911991">
          <w:marLeft w:val="720"/>
          <w:marRight w:val="0"/>
          <w:marTop w:val="0"/>
          <w:marBottom w:val="220"/>
          <w:divBdr>
            <w:top w:val="none" w:sz="0" w:space="0" w:color="auto"/>
            <w:left w:val="none" w:sz="0" w:space="0" w:color="auto"/>
            <w:bottom w:val="none" w:sz="0" w:space="0" w:color="auto"/>
            <w:right w:val="none" w:sz="0" w:space="0" w:color="auto"/>
          </w:divBdr>
        </w:div>
        <w:div w:id="1425766416">
          <w:marLeft w:val="720"/>
          <w:marRight w:val="0"/>
          <w:marTop w:val="0"/>
          <w:marBottom w:val="220"/>
          <w:divBdr>
            <w:top w:val="none" w:sz="0" w:space="0" w:color="auto"/>
            <w:left w:val="none" w:sz="0" w:space="0" w:color="auto"/>
            <w:bottom w:val="none" w:sz="0" w:space="0" w:color="auto"/>
            <w:right w:val="none" w:sz="0" w:space="0" w:color="auto"/>
          </w:divBdr>
        </w:div>
        <w:div w:id="809058219">
          <w:marLeft w:val="720"/>
          <w:marRight w:val="0"/>
          <w:marTop w:val="0"/>
          <w:marBottom w:val="220"/>
          <w:divBdr>
            <w:top w:val="none" w:sz="0" w:space="0" w:color="auto"/>
            <w:left w:val="none" w:sz="0" w:space="0" w:color="auto"/>
            <w:bottom w:val="none" w:sz="0" w:space="0" w:color="auto"/>
            <w:right w:val="none" w:sz="0" w:space="0" w:color="auto"/>
          </w:divBdr>
        </w:div>
        <w:div w:id="683551925">
          <w:marLeft w:val="720"/>
          <w:marRight w:val="0"/>
          <w:marTop w:val="0"/>
          <w:marBottom w:val="220"/>
          <w:divBdr>
            <w:top w:val="none" w:sz="0" w:space="0" w:color="auto"/>
            <w:left w:val="none" w:sz="0" w:space="0" w:color="auto"/>
            <w:bottom w:val="none" w:sz="0" w:space="0" w:color="auto"/>
            <w:right w:val="none" w:sz="0" w:space="0" w:color="auto"/>
          </w:divBdr>
        </w:div>
        <w:div w:id="563101879">
          <w:marLeft w:val="720"/>
          <w:marRight w:val="0"/>
          <w:marTop w:val="0"/>
          <w:marBottom w:val="220"/>
          <w:divBdr>
            <w:top w:val="none" w:sz="0" w:space="0" w:color="auto"/>
            <w:left w:val="none" w:sz="0" w:space="0" w:color="auto"/>
            <w:bottom w:val="none" w:sz="0" w:space="0" w:color="auto"/>
            <w:right w:val="none" w:sz="0" w:space="0" w:color="auto"/>
          </w:divBdr>
        </w:div>
        <w:div w:id="900676410">
          <w:marLeft w:val="720"/>
          <w:marRight w:val="0"/>
          <w:marTop w:val="0"/>
          <w:marBottom w:val="220"/>
          <w:divBdr>
            <w:top w:val="none" w:sz="0" w:space="0" w:color="auto"/>
            <w:left w:val="none" w:sz="0" w:space="0" w:color="auto"/>
            <w:bottom w:val="none" w:sz="0" w:space="0" w:color="auto"/>
            <w:right w:val="none" w:sz="0" w:space="0" w:color="auto"/>
          </w:divBdr>
        </w:div>
        <w:div w:id="746534353">
          <w:marLeft w:val="720"/>
          <w:marRight w:val="0"/>
          <w:marTop w:val="0"/>
          <w:marBottom w:val="220"/>
          <w:divBdr>
            <w:top w:val="none" w:sz="0" w:space="0" w:color="auto"/>
            <w:left w:val="none" w:sz="0" w:space="0" w:color="auto"/>
            <w:bottom w:val="none" w:sz="0" w:space="0" w:color="auto"/>
            <w:right w:val="none" w:sz="0" w:space="0" w:color="auto"/>
          </w:divBdr>
        </w:div>
        <w:div w:id="833229310">
          <w:marLeft w:val="720"/>
          <w:marRight w:val="0"/>
          <w:marTop w:val="0"/>
          <w:marBottom w:val="220"/>
          <w:divBdr>
            <w:top w:val="none" w:sz="0" w:space="0" w:color="auto"/>
            <w:left w:val="none" w:sz="0" w:space="0" w:color="auto"/>
            <w:bottom w:val="none" w:sz="0" w:space="0" w:color="auto"/>
            <w:right w:val="none" w:sz="0" w:space="0" w:color="auto"/>
          </w:divBdr>
        </w:div>
        <w:div w:id="986592187">
          <w:marLeft w:val="720"/>
          <w:marRight w:val="0"/>
          <w:marTop w:val="0"/>
          <w:marBottom w:val="220"/>
          <w:divBdr>
            <w:top w:val="none" w:sz="0" w:space="0" w:color="auto"/>
            <w:left w:val="none" w:sz="0" w:space="0" w:color="auto"/>
            <w:bottom w:val="none" w:sz="0" w:space="0" w:color="auto"/>
            <w:right w:val="none" w:sz="0" w:space="0" w:color="auto"/>
          </w:divBdr>
        </w:div>
        <w:div w:id="697774030">
          <w:marLeft w:val="720"/>
          <w:marRight w:val="0"/>
          <w:marTop w:val="0"/>
          <w:marBottom w:val="220"/>
          <w:divBdr>
            <w:top w:val="none" w:sz="0" w:space="0" w:color="auto"/>
            <w:left w:val="none" w:sz="0" w:space="0" w:color="auto"/>
            <w:bottom w:val="none" w:sz="0" w:space="0" w:color="auto"/>
            <w:right w:val="none" w:sz="0" w:space="0" w:color="auto"/>
          </w:divBdr>
        </w:div>
        <w:div w:id="334236157">
          <w:marLeft w:val="720"/>
          <w:marRight w:val="0"/>
          <w:marTop w:val="0"/>
          <w:marBottom w:val="220"/>
          <w:divBdr>
            <w:top w:val="none" w:sz="0" w:space="0" w:color="auto"/>
            <w:left w:val="none" w:sz="0" w:space="0" w:color="auto"/>
            <w:bottom w:val="none" w:sz="0" w:space="0" w:color="auto"/>
            <w:right w:val="none" w:sz="0" w:space="0" w:color="auto"/>
          </w:divBdr>
        </w:div>
        <w:div w:id="965087929">
          <w:marLeft w:val="720"/>
          <w:marRight w:val="0"/>
          <w:marTop w:val="0"/>
          <w:marBottom w:val="220"/>
          <w:divBdr>
            <w:top w:val="none" w:sz="0" w:space="0" w:color="auto"/>
            <w:left w:val="none" w:sz="0" w:space="0" w:color="auto"/>
            <w:bottom w:val="none" w:sz="0" w:space="0" w:color="auto"/>
            <w:right w:val="none" w:sz="0" w:space="0" w:color="auto"/>
          </w:divBdr>
        </w:div>
        <w:div w:id="1360551325">
          <w:marLeft w:val="720"/>
          <w:marRight w:val="0"/>
          <w:marTop w:val="0"/>
          <w:marBottom w:val="220"/>
          <w:divBdr>
            <w:top w:val="none" w:sz="0" w:space="0" w:color="auto"/>
            <w:left w:val="none" w:sz="0" w:space="0" w:color="auto"/>
            <w:bottom w:val="none" w:sz="0" w:space="0" w:color="auto"/>
            <w:right w:val="none" w:sz="0" w:space="0" w:color="auto"/>
          </w:divBdr>
        </w:div>
        <w:div w:id="2024748398">
          <w:marLeft w:val="720"/>
          <w:marRight w:val="0"/>
          <w:marTop w:val="0"/>
          <w:marBottom w:val="220"/>
          <w:divBdr>
            <w:top w:val="none" w:sz="0" w:space="0" w:color="auto"/>
            <w:left w:val="none" w:sz="0" w:space="0" w:color="auto"/>
            <w:bottom w:val="none" w:sz="0" w:space="0" w:color="auto"/>
            <w:right w:val="none" w:sz="0" w:space="0" w:color="auto"/>
          </w:divBdr>
        </w:div>
        <w:div w:id="1330281997">
          <w:marLeft w:val="720"/>
          <w:marRight w:val="0"/>
          <w:marTop w:val="0"/>
          <w:marBottom w:val="220"/>
          <w:divBdr>
            <w:top w:val="none" w:sz="0" w:space="0" w:color="auto"/>
            <w:left w:val="none" w:sz="0" w:space="0" w:color="auto"/>
            <w:bottom w:val="none" w:sz="0" w:space="0" w:color="auto"/>
            <w:right w:val="none" w:sz="0" w:space="0" w:color="auto"/>
          </w:divBdr>
        </w:div>
        <w:div w:id="1971939735">
          <w:marLeft w:val="720"/>
          <w:marRight w:val="0"/>
          <w:marTop w:val="0"/>
          <w:marBottom w:val="220"/>
          <w:divBdr>
            <w:top w:val="none" w:sz="0" w:space="0" w:color="auto"/>
            <w:left w:val="none" w:sz="0" w:space="0" w:color="auto"/>
            <w:bottom w:val="none" w:sz="0" w:space="0" w:color="auto"/>
            <w:right w:val="none" w:sz="0" w:space="0" w:color="auto"/>
          </w:divBdr>
        </w:div>
        <w:div w:id="2074044168">
          <w:marLeft w:val="720"/>
          <w:marRight w:val="0"/>
          <w:marTop w:val="0"/>
          <w:marBottom w:val="220"/>
          <w:divBdr>
            <w:top w:val="none" w:sz="0" w:space="0" w:color="auto"/>
            <w:left w:val="none" w:sz="0" w:space="0" w:color="auto"/>
            <w:bottom w:val="none" w:sz="0" w:space="0" w:color="auto"/>
            <w:right w:val="none" w:sz="0" w:space="0" w:color="auto"/>
          </w:divBdr>
        </w:div>
        <w:div w:id="1107889153">
          <w:marLeft w:val="720"/>
          <w:marRight w:val="0"/>
          <w:marTop w:val="0"/>
          <w:marBottom w:val="220"/>
          <w:divBdr>
            <w:top w:val="none" w:sz="0" w:space="0" w:color="auto"/>
            <w:left w:val="none" w:sz="0" w:space="0" w:color="auto"/>
            <w:bottom w:val="none" w:sz="0" w:space="0" w:color="auto"/>
            <w:right w:val="none" w:sz="0" w:space="0" w:color="auto"/>
          </w:divBdr>
        </w:div>
        <w:div w:id="213082897">
          <w:marLeft w:val="720"/>
          <w:marRight w:val="0"/>
          <w:marTop w:val="0"/>
          <w:marBottom w:val="220"/>
          <w:divBdr>
            <w:top w:val="none" w:sz="0" w:space="0" w:color="auto"/>
            <w:left w:val="none" w:sz="0" w:space="0" w:color="auto"/>
            <w:bottom w:val="none" w:sz="0" w:space="0" w:color="auto"/>
            <w:right w:val="none" w:sz="0" w:space="0" w:color="auto"/>
          </w:divBdr>
        </w:div>
        <w:div w:id="682513901">
          <w:marLeft w:val="720"/>
          <w:marRight w:val="0"/>
          <w:marTop w:val="0"/>
          <w:marBottom w:val="220"/>
          <w:divBdr>
            <w:top w:val="none" w:sz="0" w:space="0" w:color="auto"/>
            <w:left w:val="none" w:sz="0" w:space="0" w:color="auto"/>
            <w:bottom w:val="none" w:sz="0" w:space="0" w:color="auto"/>
            <w:right w:val="none" w:sz="0" w:space="0" w:color="auto"/>
          </w:divBdr>
        </w:div>
        <w:div w:id="533419484">
          <w:marLeft w:val="720"/>
          <w:marRight w:val="0"/>
          <w:marTop w:val="0"/>
          <w:marBottom w:val="0"/>
          <w:divBdr>
            <w:top w:val="none" w:sz="0" w:space="0" w:color="auto"/>
            <w:left w:val="none" w:sz="0" w:space="0" w:color="auto"/>
            <w:bottom w:val="none" w:sz="0" w:space="0" w:color="auto"/>
            <w:right w:val="none" w:sz="0" w:space="0" w:color="auto"/>
          </w:divBdr>
        </w:div>
        <w:div w:id="467207454">
          <w:marLeft w:val="1440"/>
          <w:marRight w:val="0"/>
          <w:marTop w:val="0"/>
          <w:marBottom w:val="0"/>
          <w:divBdr>
            <w:top w:val="none" w:sz="0" w:space="0" w:color="auto"/>
            <w:left w:val="none" w:sz="0" w:space="0" w:color="auto"/>
            <w:bottom w:val="none" w:sz="0" w:space="0" w:color="auto"/>
            <w:right w:val="none" w:sz="0" w:space="0" w:color="auto"/>
          </w:divBdr>
        </w:div>
        <w:div w:id="1740249865">
          <w:marLeft w:val="1440"/>
          <w:marRight w:val="0"/>
          <w:marTop w:val="0"/>
          <w:marBottom w:val="0"/>
          <w:divBdr>
            <w:top w:val="none" w:sz="0" w:space="0" w:color="auto"/>
            <w:left w:val="none" w:sz="0" w:space="0" w:color="auto"/>
            <w:bottom w:val="none" w:sz="0" w:space="0" w:color="auto"/>
            <w:right w:val="none" w:sz="0" w:space="0" w:color="auto"/>
          </w:divBdr>
        </w:div>
        <w:div w:id="988434563">
          <w:marLeft w:val="1440"/>
          <w:marRight w:val="0"/>
          <w:marTop w:val="0"/>
          <w:marBottom w:val="0"/>
          <w:divBdr>
            <w:top w:val="none" w:sz="0" w:space="0" w:color="auto"/>
            <w:left w:val="none" w:sz="0" w:space="0" w:color="auto"/>
            <w:bottom w:val="none" w:sz="0" w:space="0" w:color="auto"/>
            <w:right w:val="none" w:sz="0" w:space="0" w:color="auto"/>
          </w:divBdr>
        </w:div>
        <w:div w:id="1607233386">
          <w:marLeft w:val="1440"/>
          <w:marRight w:val="0"/>
          <w:marTop w:val="0"/>
          <w:marBottom w:val="0"/>
          <w:divBdr>
            <w:top w:val="none" w:sz="0" w:space="0" w:color="auto"/>
            <w:left w:val="none" w:sz="0" w:space="0" w:color="auto"/>
            <w:bottom w:val="none" w:sz="0" w:space="0" w:color="auto"/>
            <w:right w:val="none" w:sz="0" w:space="0" w:color="auto"/>
          </w:divBdr>
        </w:div>
        <w:div w:id="1744647097">
          <w:marLeft w:val="1440"/>
          <w:marRight w:val="0"/>
          <w:marTop w:val="0"/>
          <w:marBottom w:val="0"/>
          <w:divBdr>
            <w:top w:val="none" w:sz="0" w:space="0" w:color="auto"/>
            <w:left w:val="none" w:sz="0" w:space="0" w:color="auto"/>
            <w:bottom w:val="none" w:sz="0" w:space="0" w:color="auto"/>
            <w:right w:val="none" w:sz="0" w:space="0" w:color="auto"/>
          </w:divBdr>
        </w:div>
        <w:div w:id="1479105256">
          <w:marLeft w:val="1440"/>
          <w:marRight w:val="0"/>
          <w:marTop w:val="0"/>
          <w:marBottom w:val="0"/>
          <w:divBdr>
            <w:top w:val="none" w:sz="0" w:space="0" w:color="auto"/>
            <w:left w:val="none" w:sz="0" w:space="0" w:color="auto"/>
            <w:bottom w:val="none" w:sz="0" w:space="0" w:color="auto"/>
            <w:right w:val="none" w:sz="0" w:space="0" w:color="auto"/>
          </w:divBdr>
        </w:div>
        <w:div w:id="534779833">
          <w:marLeft w:val="1440"/>
          <w:marRight w:val="0"/>
          <w:marTop w:val="0"/>
          <w:marBottom w:val="0"/>
          <w:divBdr>
            <w:top w:val="none" w:sz="0" w:space="0" w:color="auto"/>
            <w:left w:val="none" w:sz="0" w:space="0" w:color="auto"/>
            <w:bottom w:val="none" w:sz="0" w:space="0" w:color="auto"/>
            <w:right w:val="none" w:sz="0" w:space="0" w:color="auto"/>
          </w:divBdr>
        </w:div>
        <w:div w:id="338703726">
          <w:marLeft w:val="1440"/>
          <w:marRight w:val="0"/>
          <w:marTop w:val="0"/>
          <w:marBottom w:val="0"/>
          <w:divBdr>
            <w:top w:val="none" w:sz="0" w:space="0" w:color="auto"/>
            <w:left w:val="none" w:sz="0" w:space="0" w:color="auto"/>
            <w:bottom w:val="none" w:sz="0" w:space="0" w:color="auto"/>
            <w:right w:val="none" w:sz="0" w:space="0" w:color="auto"/>
          </w:divBdr>
        </w:div>
        <w:div w:id="620770292">
          <w:marLeft w:val="1440"/>
          <w:marRight w:val="0"/>
          <w:marTop w:val="0"/>
          <w:marBottom w:val="0"/>
          <w:divBdr>
            <w:top w:val="none" w:sz="0" w:space="0" w:color="auto"/>
            <w:left w:val="none" w:sz="0" w:space="0" w:color="auto"/>
            <w:bottom w:val="none" w:sz="0" w:space="0" w:color="auto"/>
            <w:right w:val="none" w:sz="0" w:space="0" w:color="auto"/>
          </w:divBdr>
        </w:div>
        <w:div w:id="793526423">
          <w:marLeft w:val="1440"/>
          <w:marRight w:val="0"/>
          <w:marTop w:val="0"/>
          <w:marBottom w:val="0"/>
          <w:divBdr>
            <w:top w:val="none" w:sz="0" w:space="0" w:color="auto"/>
            <w:left w:val="none" w:sz="0" w:space="0" w:color="auto"/>
            <w:bottom w:val="none" w:sz="0" w:space="0" w:color="auto"/>
            <w:right w:val="none" w:sz="0" w:space="0" w:color="auto"/>
          </w:divBdr>
        </w:div>
        <w:div w:id="1767537083">
          <w:marLeft w:val="1440"/>
          <w:marRight w:val="0"/>
          <w:marTop w:val="0"/>
          <w:marBottom w:val="0"/>
          <w:divBdr>
            <w:top w:val="none" w:sz="0" w:space="0" w:color="auto"/>
            <w:left w:val="none" w:sz="0" w:space="0" w:color="auto"/>
            <w:bottom w:val="none" w:sz="0" w:space="0" w:color="auto"/>
            <w:right w:val="none" w:sz="0" w:space="0" w:color="auto"/>
          </w:divBdr>
        </w:div>
        <w:div w:id="511576281">
          <w:marLeft w:val="1440"/>
          <w:marRight w:val="0"/>
          <w:marTop w:val="0"/>
          <w:marBottom w:val="0"/>
          <w:divBdr>
            <w:top w:val="none" w:sz="0" w:space="0" w:color="auto"/>
            <w:left w:val="none" w:sz="0" w:space="0" w:color="auto"/>
            <w:bottom w:val="none" w:sz="0" w:space="0" w:color="auto"/>
            <w:right w:val="none" w:sz="0" w:space="0" w:color="auto"/>
          </w:divBdr>
        </w:div>
        <w:div w:id="1835608168">
          <w:marLeft w:val="1440"/>
          <w:marRight w:val="0"/>
          <w:marTop w:val="0"/>
          <w:marBottom w:val="0"/>
          <w:divBdr>
            <w:top w:val="none" w:sz="0" w:space="0" w:color="auto"/>
            <w:left w:val="none" w:sz="0" w:space="0" w:color="auto"/>
            <w:bottom w:val="none" w:sz="0" w:space="0" w:color="auto"/>
            <w:right w:val="none" w:sz="0" w:space="0" w:color="auto"/>
          </w:divBdr>
        </w:div>
        <w:div w:id="1133063176">
          <w:marLeft w:val="1440"/>
          <w:marRight w:val="0"/>
          <w:marTop w:val="0"/>
          <w:marBottom w:val="0"/>
          <w:divBdr>
            <w:top w:val="none" w:sz="0" w:space="0" w:color="auto"/>
            <w:left w:val="none" w:sz="0" w:space="0" w:color="auto"/>
            <w:bottom w:val="none" w:sz="0" w:space="0" w:color="auto"/>
            <w:right w:val="none" w:sz="0" w:space="0" w:color="auto"/>
          </w:divBdr>
        </w:div>
        <w:div w:id="1161389818">
          <w:marLeft w:val="1440"/>
          <w:marRight w:val="0"/>
          <w:marTop w:val="0"/>
          <w:marBottom w:val="0"/>
          <w:divBdr>
            <w:top w:val="none" w:sz="0" w:space="0" w:color="auto"/>
            <w:left w:val="none" w:sz="0" w:space="0" w:color="auto"/>
            <w:bottom w:val="none" w:sz="0" w:space="0" w:color="auto"/>
            <w:right w:val="none" w:sz="0" w:space="0" w:color="auto"/>
          </w:divBdr>
        </w:div>
        <w:div w:id="438061862">
          <w:marLeft w:val="1440"/>
          <w:marRight w:val="0"/>
          <w:marTop w:val="0"/>
          <w:marBottom w:val="0"/>
          <w:divBdr>
            <w:top w:val="none" w:sz="0" w:space="0" w:color="auto"/>
            <w:left w:val="none" w:sz="0" w:space="0" w:color="auto"/>
            <w:bottom w:val="none" w:sz="0" w:space="0" w:color="auto"/>
            <w:right w:val="none" w:sz="0" w:space="0" w:color="auto"/>
          </w:divBdr>
        </w:div>
        <w:div w:id="1977300389">
          <w:marLeft w:val="720"/>
          <w:marRight w:val="0"/>
          <w:marTop w:val="0"/>
          <w:marBottom w:val="0"/>
          <w:divBdr>
            <w:top w:val="none" w:sz="0" w:space="0" w:color="auto"/>
            <w:left w:val="none" w:sz="0" w:space="0" w:color="auto"/>
            <w:bottom w:val="none" w:sz="0" w:space="0" w:color="auto"/>
            <w:right w:val="none" w:sz="0" w:space="0" w:color="auto"/>
          </w:divBdr>
        </w:div>
        <w:div w:id="272983363">
          <w:marLeft w:val="720"/>
          <w:marRight w:val="0"/>
          <w:marTop w:val="0"/>
          <w:marBottom w:val="0"/>
          <w:divBdr>
            <w:top w:val="none" w:sz="0" w:space="0" w:color="auto"/>
            <w:left w:val="none" w:sz="0" w:space="0" w:color="auto"/>
            <w:bottom w:val="none" w:sz="0" w:space="0" w:color="auto"/>
            <w:right w:val="none" w:sz="0" w:space="0" w:color="auto"/>
          </w:divBdr>
        </w:div>
        <w:div w:id="1844974525">
          <w:marLeft w:val="720"/>
          <w:marRight w:val="0"/>
          <w:marTop w:val="0"/>
          <w:marBottom w:val="0"/>
          <w:divBdr>
            <w:top w:val="none" w:sz="0" w:space="0" w:color="auto"/>
            <w:left w:val="none" w:sz="0" w:space="0" w:color="auto"/>
            <w:bottom w:val="none" w:sz="0" w:space="0" w:color="auto"/>
            <w:right w:val="none" w:sz="0" w:space="0" w:color="auto"/>
          </w:divBdr>
        </w:div>
        <w:div w:id="1320698197">
          <w:marLeft w:val="720"/>
          <w:marRight w:val="0"/>
          <w:marTop w:val="0"/>
          <w:marBottom w:val="0"/>
          <w:divBdr>
            <w:top w:val="none" w:sz="0" w:space="0" w:color="auto"/>
            <w:left w:val="none" w:sz="0" w:space="0" w:color="auto"/>
            <w:bottom w:val="none" w:sz="0" w:space="0" w:color="auto"/>
            <w:right w:val="none" w:sz="0" w:space="0" w:color="auto"/>
          </w:divBdr>
        </w:div>
        <w:div w:id="1978142690">
          <w:marLeft w:val="720"/>
          <w:marRight w:val="0"/>
          <w:marTop w:val="0"/>
          <w:marBottom w:val="0"/>
          <w:divBdr>
            <w:top w:val="none" w:sz="0" w:space="0" w:color="auto"/>
            <w:left w:val="none" w:sz="0" w:space="0" w:color="auto"/>
            <w:bottom w:val="none" w:sz="0" w:space="0" w:color="auto"/>
            <w:right w:val="none" w:sz="0" w:space="0" w:color="auto"/>
          </w:divBdr>
        </w:div>
        <w:div w:id="1315528316">
          <w:marLeft w:val="720"/>
          <w:marRight w:val="0"/>
          <w:marTop w:val="0"/>
          <w:marBottom w:val="0"/>
          <w:divBdr>
            <w:top w:val="none" w:sz="0" w:space="0" w:color="auto"/>
            <w:left w:val="none" w:sz="0" w:space="0" w:color="auto"/>
            <w:bottom w:val="none" w:sz="0" w:space="0" w:color="auto"/>
            <w:right w:val="none" w:sz="0" w:space="0" w:color="auto"/>
          </w:divBdr>
        </w:div>
        <w:div w:id="1523979546">
          <w:marLeft w:val="720"/>
          <w:marRight w:val="0"/>
          <w:marTop w:val="0"/>
          <w:marBottom w:val="0"/>
          <w:divBdr>
            <w:top w:val="none" w:sz="0" w:space="0" w:color="auto"/>
            <w:left w:val="none" w:sz="0" w:space="0" w:color="auto"/>
            <w:bottom w:val="none" w:sz="0" w:space="0" w:color="auto"/>
            <w:right w:val="none" w:sz="0" w:space="0" w:color="auto"/>
          </w:divBdr>
        </w:div>
        <w:div w:id="103234629">
          <w:marLeft w:val="720"/>
          <w:marRight w:val="0"/>
          <w:marTop w:val="0"/>
          <w:marBottom w:val="0"/>
          <w:divBdr>
            <w:top w:val="none" w:sz="0" w:space="0" w:color="auto"/>
            <w:left w:val="none" w:sz="0" w:space="0" w:color="auto"/>
            <w:bottom w:val="none" w:sz="0" w:space="0" w:color="auto"/>
            <w:right w:val="none" w:sz="0" w:space="0" w:color="auto"/>
          </w:divBdr>
        </w:div>
        <w:div w:id="851993231">
          <w:marLeft w:val="720"/>
          <w:marRight w:val="0"/>
          <w:marTop w:val="0"/>
          <w:marBottom w:val="0"/>
          <w:divBdr>
            <w:top w:val="none" w:sz="0" w:space="0" w:color="auto"/>
            <w:left w:val="none" w:sz="0" w:space="0" w:color="auto"/>
            <w:bottom w:val="none" w:sz="0" w:space="0" w:color="auto"/>
            <w:right w:val="none" w:sz="0" w:space="0" w:color="auto"/>
          </w:divBdr>
        </w:div>
        <w:div w:id="881020196">
          <w:marLeft w:val="720"/>
          <w:marRight w:val="0"/>
          <w:marTop w:val="0"/>
          <w:marBottom w:val="0"/>
          <w:divBdr>
            <w:top w:val="none" w:sz="0" w:space="0" w:color="auto"/>
            <w:left w:val="none" w:sz="0" w:space="0" w:color="auto"/>
            <w:bottom w:val="none" w:sz="0" w:space="0" w:color="auto"/>
            <w:right w:val="none" w:sz="0" w:space="0" w:color="auto"/>
          </w:divBdr>
        </w:div>
        <w:div w:id="189608618">
          <w:marLeft w:val="720"/>
          <w:marRight w:val="0"/>
          <w:marTop w:val="0"/>
          <w:marBottom w:val="0"/>
          <w:divBdr>
            <w:top w:val="none" w:sz="0" w:space="0" w:color="auto"/>
            <w:left w:val="none" w:sz="0" w:space="0" w:color="auto"/>
            <w:bottom w:val="none" w:sz="0" w:space="0" w:color="auto"/>
            <w:right w:val="none" w:sz="0" w:space="0" w:color="auto"/>
          </w:divBdr>
        </w:div>
        <w:div w:id="972634726">
          <w:marLeft w:val="720"/>
          <w:marRight w:val="0"/>
          <w:marTop w:val="0"/>
          <w:marBottom w:val="0"/>
          <w:divBdr>
            <w:top w:val="none" w:sz="0" w:space="0" w:color="auto"/>
            <w:left w:val="none" w:sz="0" w:space="0" w:color="auto"/>
            <w:bottom w:val="none" w:sz="0" w:space="0" w:color="auto"/>
            <w:right w:val="none" w:sz="0" w:space="0" w:color="auto"/>
          </w:divBdr>
        </w:div>
        <w:div w:id="2129548819">
          <w:marLeft w:val="720"/>
          <w:marRight w:val="0"/>
          <w:marTop w:val="0"/>
          <w:marBottom w:val="0"/>
          <w:divBdr>
            <w:top w:val="none" w:sz="0" w:space="0" w:color="auto"/>
            <w:left w:val="none" w:sz="0" w:space="0" w:color="auto"/>
            <w:bottom w:val="none" w:sz="0" w:space="0" w:color="auto"/>
            <w:right w:val="none" w:sz="0" w:space="0" w:color="auto"/>
          </w:divBdr>
        </w:div>
        <w:div w:id="828255444">
          <w:marLeft w:val="720"/>
          <w:marRight w:val="0"/>
          <w:marTop w:val="0"/>
          <w:marBottom w:val="0"/>
          <w:divBdr>
            <w:top w:val="none" w:sz="0" w:space="0" w:color="auto"/>
            <w:left w:val="none" w:sz="0" w:space="0" w:color="auto"/>
            <w:bottom w:val="none" w:sz="0" w:space="0" w:color="auto"/>
            <w:right w:val="none" w:sz="0" w:space="0" w:color="auto"/>
          </w:divBdr>
        </w:div>
        <w:div w:id="1489403754">
          <w:marLeft w:val="720"/>
          <w:marRight w:val="0"/>
          <w:marTop w:val="0"/>
          <w:marBottom w:val="0"/>
          <w:divBdr>
            <w:top w:val="none" w:sz="0" w:space="0" w:color="auto"/>
            <w:left w:val="none" w:sz="0" w:space="0" w:color="auto"/>
            <w:bottom w:val="none" w:sz="0" w:space="0" w:color="auto"/>
            <w:right w:val="none" w:sz="0" w:space="0" w:color="auto"/>
          </w:divBdr>
        </w:div>
        <w:div w:id="1175539470">
          <w:marLeft w:val="720"/>
          <w:marRight w:val="0"/>
          <w:marTop w:val="0"/>
          <w:marBottom w:val="0"/>
          <w:divBdr>
            <w:top w:val="none" w:sz="0" w:space="0" w:color="auto"/>
            <w:left w:val="none" w:sz="0" w:space="0" w:color="auto"/>
            <w:bottom w:val="none" w:sz="0" w:space="0" w:color="auto"/>
            <w:right w:val="none" w:sz="0" w:space="0" w:color="auto"/>
          </w:divBdr>
        </w:div>
        <w:div w:id="1733118065">
          <w:marLeft w:val="720"/>
          <w:marRight w:val="0"/>
          <w:marTop w:val="0"/>
          <w:marBottom w:val="0"/>
          <w:divBdr>
            <w:top w:val="none" w:sz="0" w:space="0" w:color="auto"/>
            <w:left w:val="none" w:sz="0" w:space="0" w:color="auto"/>
            <w:bottom w:val="none" w:sz="0" w:space="0" w:color="auto"/>
            <w:right w:val="none" w:sz="0" w:space="0" w:color="auto"/>
          </w:divBdr>
        </w:div>
        <w:div w:id="652489527">
          <w:marLeft w:val="720"/>
          <w:marRight w:val="0"/>
          <w:marTop w:val="0"/>
          <w:marBottom w:val="0"/>
          <w:divBdr>
            <w:top w:val="none" w:sz="0" w:space="0" w:color="auto"/>
            <w:left w:val="none" w:sz="0" w:space="0" w:color="auto"/>
            <w:bottom w:val="none" w:sz="0" w:space="0" w:color="auto"/>
            <w:right w:val="none" w:sz="0" w:space="0" w:color="auto"/>
          </w:divBdr>
        </w:div>
        <w:div w:id="1612054868">
          <w:marLeft w:val="720"/>
          <w:marRight w:val="0"/>
          <w:marTop w:val="0"/>
          <w:marBottom w:val="0"/>
          <w:divBdr>
            <w:top w:val="none" w:sz="0" w:space="0" w:color="auto"/>
            <w:left w:val="none" w:sz="0" w:space="0" w:color="auto"/>
            <w:bottom w:val="none" w:sz="0" w:space="0" w:color="auto"/>
            <w:right w:val="none" w:sz="0" w:space="0" w:color="auto"/>
          </w:divBdr>
        </w:div>
        <w:div w:id="1792164162">
          <w:marLeft w:val="0"/>
          <w:marRight w:val="0"/>
          <w:marTop w:val="0"/>
          <w:marBottom w:val="360"/>
          <w:divBdr>
            <w:top w:val="none" w:sz="0" w:space="0" w:color="auto"/>
            <w:left w:val="none" w:sz="0" w:space="0" w:color="auto"/>
            <w:bottom w:val="none" w:sz="0" w:space="0" w:color="auto"/>
            <w:right w:val="none" w:sz="0" w:space="0" w:color="auto"/>
          </w:divBdr>
        </w:div>
        <w:div w:id="692268732">
          <w:marLeft w:val="0"/>
          <w:marRight w:val="0"/>
          <w:marTop w:val="0"/>
          <w:marBottom w:val="360"/>
          <w:divBdr>
            <w:top w:val="none" w:sz="0" w:space="0" w:color="auto"/>
            <w:left w:val="none" w:sz="0" w:space="0" w:color="auto"/>
            <w:bottom w:val="none" w:sz="0" w:space="0" w:color="auto"/>
            <w:right w:val="none" w:sz="0" w:space="0" w:color="auto"/>
          </w:divBdr>
        </w:div>
        <w:div w:id="1977833144">
          <w:marLeft w:val="0"/>
          <w:marRight w:val="0"/>
          <w:marTop w:val="0"/>
          <w:marBottom w:val="360"/>
          <w:divBdr>
            <w:top w:val="none" w:sz="0" w:space="0" w:color="auto"/>
            <w:left w:val="none" w:sz="0" w:space="0" w:color="auto"/>
            <w:bottom w:val="none" w:sz="0" w:space="0" w:color="auto"/>
            <w:right w:val="none" w:sz="0" w:space="0" w:color="auto"/>
          </w:divBdr>
        </w:div>
        <w:div w:id="1858542299">
          <w:marLeft w:val="0"/>
          <w:marRight w:val="0"/>
          <w:marTop w:val="0"/>
          <w:marBottom w:val="360"/>
          <w:divBdr>
            <w:top w:val="none" w:sz="0" w:space="0" w:color="auto"/>
            <w:left w:val="none" w:sz="0" w:space="0" w:color="auto"/>
            <w:bottom w:val="none" w:sz="0" w:space="0" w:color="auto"/>
            <w:right w:val="none" w:sz="0" w:space="0" w:color="auto"/>
          </w:divBdr>
        </w:div>
        <w:div w:id="1156609819">
          <w:marLeft w:val="0"/>
          <w:marRight w:val="0"/>
          <w:marTop w:val="0"/>
          <w:marBottom w:val="360"/>
          <w:divBdr>
            <w:top w:val="none" w:sz="0" w:space="0" w:color="auto"/>
            <w:left w:val="none" w:sz="0" w:space="0" w:color="auto"/>
            <w:bottom w:val="none" w:sz="0" w:space="0" w:color="auto"/>
            <w:right w:val="none" w:sz="0" w:space="0" w:color="auto"/>
          </w:divBdr>
        </w:div>
        <w:div w:id="1741827837">
          <w:marLeft w:val="0"/>
          <w:marRight w:val="0"/>
          <w:marTop w:val="0"/>
          <w:marBottom w:val="360"/>
          <w:divBdr>
            <w:top w:val="none" w:sz="0" w:space="0" w:color="auto"/>
            <w:left w:val="none" w:sz="0" w:space="0" w:color="auto"/>
            <w:bottom w:val="none" w:sz="0" w:space="0" w:color="auto"/>
            <w:right w:val="none" w:sz="0" w:space="0" w:color="auto"/>
          </w:divBdr>
        </w:div>
        <w:div w:id="864058565">
          <w:marLeft w:val="0"/>
          <w:marRight w:val="0"/>
          <w:marTop w:val="120"/>
          <w:marBottom w:val="320"/>
          <w:divBdr>
            <w:top w:val="none" w:sz="0" w:space="0" w:color="auto"/>
            <w:left w:val="none" w:sz="0" w:space="0" w:color="auto"/>
            <w:bottom w:val="none" w:sz="0" w:space="0" w:color="auto"/>
            <w:right w:val="none" w:sz="0" w:space="0" w:color="auto"/>
          </w:divBdr>
        </w:div>
        <w:div w:id="1166476009">
          <w:marLeft w:val="0"/>
          <w:marRight w:val="0"/>
          <w:marTop w:val="0"/>
          <w:marBottom w:val="360"/>
          <w:divBdr>
            <w:top w:val="none" w:sz="0" w:space="0" w:color="auto"/>
            <w:left w:val="none" w:sz="0" w:space="0" w:color="auto"/>
            <w:bottom w:val="none" w:sz="0" w:space="0" w:color="auto"/>
            <w:right w:val="none" w:sz="0" w:space="0" w:color="auto"/>
          </w:divBdr>
        </w:div>
        <w:div w:id="949436125">
          <w:marLeft w:val="0"/>
          <w:marRight w:val="0"/>
          <w:marTop w:val="0"/>
          <w:marBottom w:val="360"/>
          <w:divBdr>
            <w:top w:val="none" w:sz="0" w:space="0" w:color="auto"/>
            <w:left w:val="none" w:sz="0" w:space="0" w:color="auto"/>
            <w:bottom w:val="none" w:sz="0" w:space="0" w:color="auto"/>
            <w:right w:val="none" w:sz="0" w:space="0" w:color="auto"/>
          </w:divBdr>
        </w:div>
        <w:div w:id="992219274">
          <w:marLeft w:val="0"/>
          <w:marRight w:val="0"/>
          <w:marTop w:val="0"/>
          <w:marBottom w:val="360"/>
          <w:divBdr>
            <w:top w:val="none" w:sz="0" w:space="0" w:color="auto"/>
            <w:left w:val="none" w:sz="0" w:space="0" w:color="auto"/>
            <w:bottom w:val="none" w:sz="0" w:space="0" w:color="auto"/>
            <w:right w:val="none" w:sz="0" w:space="0" w:color="auto"/>
          </w:divBdr>
        </w:div>
        <w:div w:id="312225728">
          <w:marLeft w:val="0"/>
          <w:marRight w:val="0"/>
          <w:marTop w:val="0"/>
          <w:marBottom w:val="360"/>
          <w:divBdr>
            <w:top w:val="none" w:sz="0" w:space="0" w:color="auto"/>
            <w:left w:val="none" w:sz="0" w:space="0" w:color="auto"/>
            <w:bottom w:val="none" w:sz="0" w:space="0" w:color="auto"/>
            <w:right w:val="none" w:sz="0" w:space="0" w:color="auto"/>
          </w:divBdr>
        </w:div>
        <w:div w:id="2632392">
          <w:marLeft w:val="0"/>
          <w:marRight w:val="0"/>
          <w:marTop w:val="0"/>
          <w:marBottom w:val="360"/>
          <w:divBdr>
            <w:top w:val="none" w:sz="0" w:space="0" w:color="auto"/>
            <w:left w:val="none" w:sz="0" w:space="0" w:color="auto"/>
            <w:bottom w:val="none" w:sz="0" w:space="0" w:color="auto"/>
            <w:right w:val="none" w:sz="0" w:space="0" w:color="auto"/>
          </w:divBdr>
        </w:div>
        <w:div w:id="1448084058">
          <w:marLeft w:val="0"/>
          <w:marRight w:val="0"/>
          <w:marTop w:val="0"/>
          <w:marBottom w:val="360"/>
          <w:divBdr>
            <w:top w:val="none" w:sz="0" w:space="0" w:color="auto"/>
            <w:left w:val="none" w:sz="0" w:space="0" w:color="auto"/>
            <w:bottom w:val="none" w:sz="0" w:space="0" w:color="auto"/>
            <w:right w:val="none" w:sz="0" w:space="0" w:color="auto"/>
          </w:divBdr>
        </w:div>
        <w:div w:id="985008955">
          <w:marLeft w:val="0"/>
          <w:marRight w:val="0"/>
          <w:marTop w:val="0"/>
          <w:marBottom w:val="360"/>
          <w:divBdr>
            <w:top w:val="none" w:sz="0" w:space="0" w:color="auto"/>
            <w:left w:val="none" w:sz="0" w:space="0" w:color="auto"/>
            <w:bottom w:val="none" w:sz="0" w:space="0" w:color="auto"/>
            <w:right w:val="none" w:sz="0" w:space="0" w:color="auto"/>
          </w:divBdr>
        </w:div>
        <w:div w:id="1726685326">
          <w:marLeft w:val="0"/>
          <w:marRight w:val="0"/>
          <w:marTop w:val="0"/>
          <w:marBottom w:val="360"/>
          <w:divBdr>
            <w:top w:val="none" w:sz="0" w:space="0" w:color="auto"/>
            <w:left w:val="none" w:sz="0" w:space="0" w:color="auto"/>
            <w:bottom w:val="none" w:sz="0" w:space="0" w:color="auto"/>
            <w:right w:val="none" w:sz="0" w:space="0" w:color="auto"/>
          </w:divBdr>
        </w:div>
        <w:div w:id="2140032255">
          <w:marLeft w:val="0"/>
          <w:marRight w:val="0"/>
          <w:marTop w:val="0"/>
          <w:marBottom w:val="360"/>
          <w:divBdr>
            <w:top w:val="none" w:sz="0" w:space="0" w:color="auto"/>
            <w:left w:val="none" w:sz="0" w:space="0" w:color="auto"/>
            <w:bottom w:val="none" w:sz="0" w:space="0" w:color="auto"/>
            <w:right w:val="none" w:sz="0" w:space="0" w:color="auto"/>
          </w:divBdr>
        </w:div>
        <w:div w:id="2057468129">
          <w:marLeft w:val="0"/>
          <w:marRight w:val="0"/>
          <w:marTop w:val="0"/>
          <w:marBottom w:val="360"/>
          <w:divBdr>
            <w:top w:val="none" w:sz="0" w:space="0" w:color="auto"/>
            <w:left w:val="none" w:sz="0" w:space="0" w:color="auto"/>
            <w:bottom w:val="none" w:sz="0" w:space="0" w:color="auto"/>
            <w:right w:val="none" w:sz="0" w:space="0" w:color="auto"/>
          </w:divBdr>
        </w:div>
        <w:div w:id="1991715731">
          <w:marLeft w:val="0"/>
          <w:marRight w:val="0"/>
          <w:marTop w:val="0"/>
          <w:marBottom w:val="360"/>
          <w:divBdr>
            <w:top w:val="none" w:sz="0" w:space="0" w:color="auto"/>
            <w:left w:val="none" w:sz="0" w:space="0" w:color="auto"/>
            <w:bottom w:val="none" w:sz="0" w:space="0" w:color="auto"/>
            <w:right w:val="none" w:sz="0" w:space="0" w:color="auto"/>
          </w:divBdr>
        </w:div>
        <w:div w:id="775173415">
          <w:marLeft w:val="0"/>
          <w:marRight w:val="0"/>
          <w:marTop w:val="0"/>
          <w:marBottom w:val="360"/>
          <w:divBdr>
            <w:top w:val="none" w:sz="0" w:space="0" w:color="auto"/>
            <w:left w:val="none" w:sz="0" w:space="0" w:color="auto"/>
            <w:bottom w:val="none" w:sz="0" w:space="0" w:color="auto"/>
            <w:right w:val="none" w:sz="0" w:space="0" w:color="auto"/>
          </w:divBdr>
        </w:div>
        <w:div w:id="672415120">
          <w:marLeft w:val="0"/>
          <w:marRight w:val="0"/>
          <w:marTop w:val="0"/>
          <w:marBottom w:val="360"/>
          <w:divBdr>
            <w:top w:val="none" w:sz="0" w:space="0" w:color="auto"/>
            <w:left w:val="none" w:sz="0" w:space="0" w:color="auto"/>
            <w:bottom w:val="none" w:sz="0" w:space="0" w:color="auto"/>
            <w:right w:val="none" w:sz="0" w:space="0" w:color="auto"/>
          </w:divBdr>
        </w:div>
        <w:div w:id="1502046505">
          <w:marLeft w:val="0"/>
          <w:marRight w:val="0"/>
          <w:marTop w:val="0"/>
          <w:marBottom w:val="360"/>
          <w:divBdr>
            <w:top w:val="none" w:sz="0" w:space="0" w:color="auto"/>
            <w:left w:val="none" w:sz="0" w:space="0" w:color="auto"/>
            <w:bottom w:val="none" w:sz="0" w:space="0" w:color="auto"/>
            <w:right w:val="none" w:sz="0" w:space="0" w:color="auto"/>
          </w:divBdr>
        </w:div>
        <w:div w:id="1998487143">
          <w:marLeft w:val="720"/>
          <w:marRight w:val="0"/>
          <w:marTop w:val="0"/>
          <w:marBottom w:val="0"/>
          <w:divBdr>
            <w:top w:val="none" w:sz="0" w:space="0" w:color="auto"/>
            <w:left w:val="none" w:sz="0" w:space="0" w:color="auto"/>
            <w:bottom w:val="none" w:sz="0" w:space="0" w:color="auto"/>
            <w:right w:val="none" w:sz="0" w:space="0" w:color="auto"/>
          </w:divBdr>
        </w:div>
        <w:div w:id="1457873239">
          <w:marLeft w:val="720"/>
          <w:marRight w:val="0"/>
          <w:marTop w:val="0"/>
          <w:marBottom w:val="0"/>
          <w:divBdr>
            <w:top w:val="none" w:sz="0" w:space="0" w:color="auto"/>
            <w:left w:val="none" w:sz="0" w:space="0" w:color="auto"/>
            <w:bottom w:val="none" w:sz="0" w:space="0" w:color="auto"/>
            <w:right w:val="none" w:sz="0" w:space="0" w:color="auto"/>
          </w:divBdr>
        </w:div>
        <w:div w:id="1877699262">
          <w:marLeft w:val="720"/>
          <w:marRight w:val="0"/>
          <w:marTop w:val="0"/>
          <w:marBottom w:val="0"/>
          <w:divBdr>
            <w:top w:val="none" w:sz="0" w:space="0" w:color="auto"/>
            <w:left w:val="none" w:sz="0" w:space="0" w:color="auto"/>
            <w:bottom w:val="none" w:sz="0" w:space="0" w:color="auto"/>
            <w:right w:val="none" w:sz="0" w:space="0" w:color="auto"/>
          </w:divBdr>
        </w:div>
        <w:div w:id="698628310">
          <w:marLeft w:val="720"/>
          <w:marRight w:val="0"/>
          <w:marTop w:val="0"/>
          <w:marBottom w:val="0"/>
          <w:divBdr>
            <w:top w:val="none" w:sz="0" w:space="0" w:color="auto"/>
            <w:left w:val="none" w:sz="0" w:space="0" w:color="auto"/>
            <w:bottom w:val="none" w:sz="0" w:space="0" w:color="auto"/>
            <w:right w:val="none" w:sz="0" w:space="0" w:color="auto"/>
          </w:divBdr>
        </w:div>
        <w:div w:id="1339847433">
          <w:marLeft w:val="720"/>
          <w:marRight w:val="0"/>
          <w:marTop w:val="0"/>
          <w:marBottom w:val="0"/>
          <w:divBdr>
            <w:top w:val="none" w:sz="0" w:space="0" w:color="auto"/>
            <w:left w:val="none" w:sz="0" w:space="0" w:color="auto"/>
            <w:bottom w:val="none" w:sz="0" w:space="0" w:color="auto"/>
            <w:right w:val="none" w:sz="0" w:space="0" w:color="auto"/>
          </w:divBdr>
        </w:div>
        <w:div w:id="1536037248">
          <w:marLeft w:val="720"/>
          <w:marRight w:val="0"/>
          <w:marTop w:val="0"/>
          <w:marBottom w:val="0"/>
          <w:divBdr>
            <w:top w:val="none" w:sz="0" w:space="0" w:color="auto"/>
            <w:left w:val="none" w:sz="0" w:space="0" w:color="auto"/>
            <w:bottom w:val="none" w:sz="0" w:space="0" w:color="auto"/>
            <w:right w:val="none" w:sz="0" w:space="0" w:color="auto"/>
          </w:divBdr>
        </w:div>
        <w:div w:id="1757827993">
          <w:marLeft w:val="720"/>
          <w:marRight w:val="0"/>
          <w:marTop w:val="0"/>
          <w:marBottom w:val="0"/>
          <w:divBdr>
            <w:top w:val="none" w:sz="0" w:space="0" w:color="auto"/>
            <w:left w:val="none" w:sz="0" w:space="0" w:color="auto"/>
            <w:bottom w:val="none" w:sz="0" w:space="0" w:color="auto"/>
            <w:right w:val="none" w:sz="0" w:space="0" w:color="auto"/>
          </w:divBdr>
        </w:div>
        <w:div w:id="951128370">
          <w:marLeft w:val="720"/>
          <w:marRight w:val="0"/>
          <w:marTop w:val="0"/>
          <w:marBottom w:val="0"/>
          <w:divBdr>
            <w:top w:val="none" w:sz="0" w:space="0" w:color="auto"/>
            <w:left w:val="none" w:sz="0" w:space="0" w:color="auto"/>
            <w:bottom w:val="none" w:sz="0" w:space="0" w:color="auto"/>
            <w:right w:val="none" w:sz="0" w:space="0" w:color="auto"/>
          </w:divBdr>
        </w:div>
        <w:div w:id="1069814788">
          <w:marLeft w:val="720"/>
          <w:marRight w:val="0"/>
          <w:marTop w:val="0"/>
          <w:marBottom w:val="0"/>
          <w:divBdr>
            <w:top w:val="none" w:sz="0" w:space="0" w:color="auto"/>
            <w:left w:val="none" w:sz="0" w:space="0" w:color="auto"/>
            <w:bottom w:val="none" w:sz="0" w:space="0" w:color="auto"/>
            <w:right w:val="none" w:sz="0" w:space="0" w:color="auto"/>
          </w:divBdr>
        </w:div>
        <w:div w:id="1630629995">
          <w:marLeft w:val="720"/>
          <w:marRight w:val="0"/>
          <w:marTop w:val="0"/>
          <w:marBottom w:val="0"/>
          <w:divBdr>
            <w:top w:val="none" w:sz="0" w:space="0" w:color="auto"/>
            <w:left w:val="none" w:sz="0" w:space="0" w:color="auto"/>
            <w:bottom w:val="none" w:sz="0" w:space="0" w:color="auto"/>
            <w:right w:val="none" w:sz="0" w:space="0" w:color="auto"/>
          </w:divBdr>
        </w:div>
        <w:div w:id="1937520878">
          <w:marLeft w:val="720"/>
          <w:marRight w:val="0"/>
          <w:marTop w:val="0"/>
          <w:marBottom w:val="0"/>
          <w:divBdr>
            <w:top w:val="none" w:sz="0" w:space="0" w:color="auto"/>
            <w:left w:val="none" w:sz="0" w:space="0" w:color="auto"/>
            <w:bottom w:val="none" w:sz="0" w:space="0" w:color="auto"/>
            <w:right w:val="none" w:sz="0" w:space="0" w:color="auto"/>
          </w:divBdr>
        </w:div>
        <w:div w:id="324211627">
          <w:marLeft w:val="720"/>
          <w:marRight w:val="0"/>
          <w:marTop w:val="0"/>
          <w:marBottom w:val="0"/>
          <w:divBdr>
            <w:top w:val="none" w:sz="0" w:space="0" w:color="auto"/>
            <w:left w:val="none" w:sz="0" w:space="0" w:color="auto"/>
            <w:bottom w:val="none" w:sz="0" w:space="0" w:color="auto"/>
            <w:right w:val="none" w:sz="0" w:space="0" w:color="auto"/>
          </w:divBdr>
        </w:div>
        <w:div w:id="575213811">
          <w:marLeft w:val="720"/>
          <w:marRight w:val="0"/>
          <w:marTop w:val="0"/>
          <w:marBottom w:val="0"/>
          <w:divBdr>
            <w:top w:val="none" w:sz="0" w:space="0" w:color="auto"/>
            <w:left w:val="none" w:sz="0" w:space="0" w:color="auto"/>
            <w:bottom w:val="none" w:sz="0" w:space="0" w:color="auto"/>
            <w:right w:val="none" w:sz="0" w:space="0" w:color="auto"/>
          </w:divBdr>
        </w:div>
        <w:div w:id="1339700465">
          <w:marLeft w:val="720"/>
          <w:marRight w:val="0"/>
          <w:marTop w:val="0"/>
          <w:marBottom w:val="0"/>
          <w:divBdr>
            <w:top w:val="none" w:sz="0" w:space="0" w:color="auto"/>
            <w:left w:val="none" w:sz="0" w:space="0" w:color="auto"/>
            <w:bottom w:val="none" w:sz="0" w:space="0" w:color="auto"/>
            <w:right w:val="none" w:sz="0" w:space="0" w:color="auto"/>
          </w:divBdr>
        </w:div>
        <w:div w:id="333461667">
          <w:marLeft w:val="720"/>
          <w:marRight w:val="0"/>
          <w:marTop w:val="0"/>
          <w:marBottom w:val="0"/>
          <w:divBdr>
            <w:top w:val="none" w:sz="0" w:space="0" w:color="auto"/>
            <w:left w:val="none" w:sz="0" w:space="0" w:color="auto"/>
            <w:bottom w:val="none" w:sz="0" w:space="0" w:color="auto"/>
            <w:right w:val="none" w:sz="0" w:space="0" w:color="auto"/>
          </w:divBdr>
        </w:div>
        <w:div w:id="1333334782">
          <w:marLeft w:val="720"/>
          <w:marRight w:val="0"/>
          <w:marTop w:val="0"/>
          <w:marBottom w:val="0"/>
          <w:divBdr>
            <w:top w:val="none" w:sz="0" w:space="0" w:color="auto"/>
            <w:left w:val="none" w:sz="0" w:space="0" w:color="auto"/>
            <w:bottom w:val="none" w:sz="0" w:space="0" w:color="auto"/>
            <w:right w:val="none" w:sz="0" w:space="0" w:color="auto"/>
          </w:divBdr>
        </w:div>
        <w:div w:id="632559055">
          <w:marLeft w:val="720"/>
          <w:marRight w:val="0"/>
          <w:marTop w:val="0"/>
          <w:marBottom w:val="0"/>
          <w:divBdr>
            <w:top w:val="none" w:sz="0" w:space="0" w:color="auto"/>
            <w:left w:val="none" w:sz="0" w:space="0" w:color="auto"/>
            <w:bottom w:val="none" w:sz="0" w:space="0" w:color="auto"/>
            <w:right w:val="none" w:sz="0" w:space="0" w:color="auto"/>
          </w:divBdr>
        </w:div>
        <w:div w:id="696852520">
          <w:marLeft w:val="720"/>
          <w:marRight w:val="0"/>
          <w:marTop w:val="0"/>
          <w:marBottom w:val="0"/>
          <w:divBdr>
            <w:top w:val="none" w:sz="0" w:space="0" w:color="auto"/>
            <w:left w:val="none" w:sz="0" w:space="0" w:color="auto"/>
            <w:bottom w:val="none" w:sz="0" w:space="0" w:color="auto"/>
            <w:right w:val="none" w:sz="0" w:space="0" w:color="auto"/>
          </w:divBdr>
        </w:div>
        <w:div w:id="988903839">
          <w:marLeft w:val="720"/>
          <w:marRight w:val="0"/>
          <w:marTop w:val="0"/>
          <w:marBottom w:val="0"/>
          <w:divBdr>
            <w:top w:val="none" w:sz="0" w:space="0" w:color="auto"/>
            <w:left w:val="none" w:sz="0" w:space="0" w:color="auto"/>
            <w:bottom w:val="none" w:sz="0" w:space="0" w:color="auto"/>
            <w:right w:val="none" w:sz="0" w:space="0" w:color="auto"/>
          </w:divBdr>
        </w:div>
        <w:div w:id="2061317955">
          <w:marLeft w:val="720"/>
          <w:marRight w:val="0"/>
          <w:marTop w:val="0"/>
          <w:marBottom w:val="0"/>
          <w:divBdr>
            <w:top w:val="none" w:sz="0" w:space="0" w:color="auto"/>
            <w:left w:val="none" w:sz="0" w:space="0" w:color="auto"/>
            <w:bottom w:val="none" w:sz="0" w:space="0" w:color="auto"/>
            <w:right w:val="none" w:sz="0" w:space="0" w:color="auto"/>
          </w:divBdr>
        </w:div>
        <w:div w:id="568228013">
          <w:marLeft w:val="720"/>
          <w:marRight w:val="0"/>
          <w:marTop w:val="0"/>
          <w:marBottom w:val="0"/>
          <w:divBdr>
            <w:top w:val="none" w:sz="0" w:space="0" w:color="auto"/>
            <w:left w:val="none" w:sz="0" w:space="0" w:color="auto"/>
            <w:bottom w:val="none" w:sz="0" w:space="0" w:color="auto"/>
            <w:right w:val="none" w:sz="0" w:space="0" w:color="auto"/>
          </w:divBdr>
        </w:div>
        <w:div w:id="810555459">
          <w:marLeft w:val="720"/>
          <w:marRight w:val="0"/>
          <w:marTop w:val="0"/>
          <w:marBottom w:val="0"/>
          <w:divBdr>
            <w:top w:val="none" w:sz="0" w:space="0" w:color="auto"/>
            <w:left w:val="none" w:sz="0" w:space="0" w:color="auto"/>
            <w:bottom w:val="none" w:sz="0" w:space="0" w:color="auto"/>
            <w:right w:val="none" w:sz="0" w:space="0" w:color="auto"/>
          </w:divBdr>
        </w:div>
        <w:div w:id="655884897">
          <w:marLeft w:val="720"/>
          <w:marRight w:val="0"/>
          <w:marTop w:val="0"/>
          <w:marBottom w:val="0"/>
          <w:divBdr>
            <w:top w:val="none" w:sz="0" w:space="0" w:color="auto"/>
            <w:left w:val="none" w:sz="0" w:space="0" w:color="auto"/>
            <w:bottom w:val="none" w:sz="0" w:space="0" w:color="auto"/>
            <w:right w:val="none" w:sz="0" w:space="0" w:color="auto"/>
          </w:divBdr>
        </w:div>
        <w:div w:id="1326011009">
          <w:marLeft w:val="720"/>
          <w:marRight w:val="0"/>
          <w:marTop w:val="0"/>
          <w:marBottom w:val="0"/>
          <w:divBdr>
            <w:top w:val="none" w:sz="0" w:space="0" w:color="auto"/>
            <w:left w:val="none" w:sz="0" w:space="0" w:color="auto"/>
            <w:bottom w:val="none" w:sz="0" w:space="0" w:color="auto"/>
            <w:right w:val="none" w:sz="0" w:space="0" w:color="auto"/>
          </w:divBdr>
        </w:div>
        <w:div w:id="1168982271">
          <w:marLeft w:val="720"/>
          <w:marRight w:val="0"/>
          <w:marTop w:val="0"/>
          <w:marBottom w:val="0"/>
          <w:divBdr>
            <w:top w:val="none" w:sz="0" w:space="0" w:color="auto"/>
            <w:left w:val="none" w:sz="0" w:space="0" w:color="auto"/>
            <w:bottom w:val="none" w:sz="0" w:space="0" w:color="auto"/>
            <w:right w:val="none" w:sz="0" w:space="0" w:color="auto"/>
          </w:divBdr>
        </w:div>
        <w:div w:id="191841069">
          <w:marLeft w:val="720"/>
          <w:marRight w:val="0"/>
          <w:marTop w:val="0"/>
          <w:marBottom w:val="0"/>
          <w:divBdr>
            <w:top w:val="none" w:sz="0" w:space="0" w:color="auto"/>
            <w:left w:val="none" w:sz="0" w:space="0" w:color="auto"/>
            <w:bottom w:val="none" w:sz="0" w:space="0" w:color="auto"/>
            <w:right w:val="none" w:sz="0" w:space="0" w:color="auto"/>
          </w:divBdr>
        </w:div>
        <w:div w:id="1053508050">
          <w:marLeft w:val="720"/>
          <w:marRight w:val="0"/>
          <w:marTop w:val="0"/>
          <w:marBottom w:val="0"/>
          <w:divBdr>
            <w:top w:val="none" w:sz="0" w:space="0" w:color="auto"/>
            <w:left w:val="none" w:sz="0" w:space="0" w:color="auto"/>
            <w:bottom w:val="none" w:sz="0" w:space="0" w:color="auto"/>
            <w:right w:val="none" w:sz="0" w:space="0" w:color="auto"/>
          </w:divBdr>
        </w:div>
        <w:div w:id="1090589016">
          <w:marLeft w:val="720"/>
          <w:marRight w:val="0"/>
          <w:marTop w:val="0"/>
          <w:marBottom w:val="0"/>
          <w:divBdr>
            <w:top w:val="none" w:sz="0" w:space="0" w:color="auto"/>
            <w:left w:val="none" w:sz="0" w:space="0" w:color="auto"/>
            <w:bottom w:val="none" w:sz="0" w:space="0" w:color="auto"/>
            <w:right w:val="none" w:sz="0" w:space="0" w:color="auto"/>
          </w:divBdr>
        </w:div>
        <w:div w:id="1676028629">
          <w:marLeft w:val="720"/>
          <w:marRight w:val="0"/>
          <w:marTop w:val="0"/>
          <w:marBottom w:val="0"/>
          <w:divBdr>
            <w:top w:val="none" w:sz="0" w:space="0" w:color="auto"/>
            <w:left w:val="none" w:sz="0" w:space="0" w:color="auto"/>
            <w:bottom w:val="none" w:sz="0" w:space="0" w:color="auto"/>
            <w:right w:val="none" w:sz="0" w:space="0" w:color="auto"/>
          </w:divBdr>
        </w:div>
        <w:div w:id="1034816811">
          <w:marLeft w:val="720"/>
          <w:marRight w:val="0"/>
          <w:marTop w:val="0"/>
          <w:marBottom w:val="0"/>
          <w:divBdr>
            <w:top w:val="none" w:sz="0" w:space="0" w:color="auto"/>
            <w:left w:val="none" w:sz="0" w:space="0" w:color="auto"/>
            <w:bottom w:val="none" w:sz="0" w:space="0" w:color="auto"/>
            <w:right w:val="none" w:sz="0" w:space="0" w:color="auto"/>
          </w:divBdr>
        </w:div>
        <w:div w:id="1089473140">
          <w:marLeft w:val="720"/>
          <w:marRight w:val="0"/>
          <w:marTop w:val="0"/>
          <w:marBottom w:val="0"/>
          <w:divBdr>
            <w:top w:val="none" w:sz="0" w:space="0" w:color="auto"/>
            <w:left w:val="none" w:sz="0" w:space="0" w:color="auto"/>
            <w:bottom w:val="none" w:sz="0" w:space="0" w:color="auto"/>
            <w:right w:val="none" w:sz="0" w:space="0" w:color="auto"/>
          </w:divBdr>
        </w:div>
        <w:div w:id="195123704">
          <w:marLeft w:val="720"/>
          <w:marRight w:val="0"/>
          <w:marTop w:val="0"/>
          <w:marBottom w:val="0"/>
          <w:divBdr>
            <w:top w:val="none" w:sz="0" w:space="0" w:color="auto"/>
            <w:left w:val="none" w:sz="0" w:space="0" w:color="auto"/>
            <w:bottom w:val="none" w:sz="0" w:space="0" w:color="auto"/>
            <w:right w:val="none" w:sz="0" w:space="0" w:color="auto"/>
          </w:divBdr>
        </w:div>
        <w:div w:id="588777128">
          <w:marLeft w:val="720"/>
          <w:marRight w:val="0"/>
          <w:marTop w:val="0"/>
          <w:marBottom w:val="0"/>
          <w:divBdr>
            <w:top w:val="none" w:sz="0" w:space="0" w:color="auto"/>
            <w:left w:val="none" w:sz="0" w:space="0" w:color="auto"/>
            <w:bottom w:val="none" w:sz="0" w:space="0" w:color="auto"/>
            <w:right w:val="none" w:sz="0" w:space="0" w:color="auto"/>
          </w:divBdr>
        </w:div>
        <w:div w:id="140379219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Collateralized_debt_oblig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Bond_(finance)" TargetMode="External"/><Relationship Id="rId5" Type="http://schemas.openxmlformats.org/officeDocument/2006/relationships/hyperlink" Target="https://en.wikipedia.org/wiki/Security_(fin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1358</Words>
  <Characters>7743</Characters>
  <Application>Microsoft Office Word</Application>
  <DocSecurity>0</DocSecurity>
  <Lines>64</Lines>
  <Paragraphs>18</Paragraphs>
  <ScaleCrop>false</ScaleCrop>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Joseph</dc:creator>
  <cp:keywords/>
  <dc:description/>
  <cp:lastModifiedBy>David Joseph</cp:lastModifiedBy>
  <cp:revision>2</cp:revision>
  <dcterms:created xsi:type="dcterms:W3CDTF">2020-04-08T18:13:00Z</dcterms:created>
  <dcterms:modified xsi:type="dcterms:W3CDTF">2020-04-08T18:14:00Z</dcterms:modified>
</cp:coreProperties>
</file>